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B5147"/>
          <w:sz w:val="28"/>
        </w:rPr>
        <w:t>WOODHAVEN UNITES</w:t>
      </w:r>
    </w:p>
    <w:p>
      <w:pPr>
        <w:jc w:val="center"/>
      </w:pPr>
      <w:r>
        <w:rPr>
          <w:b/>
          <w:color w:val="1F3A32"/>
          <w:sz w:val="52"/>
        </w:rPr>
        <w:t>WOODHAVEN UNITES ACTION FUND, INC.</w:t>
      </w:r>
    </w:p>
    <w:p>
      <w:pPr>
        <w:jc w:val="center"/>
      </w:pPr>
      <w:r>
        <w:rPr>
          <w:color w:val="52625D"/>
          <w:sz w:val="26"/>
        </w:rPr>
        <w:t>Proposed 501(c)(4) Social-Welfare Organization — Formation &amp; Governance Packet</w:t>
      </w:r>
    </w:p>
    <w:p/>
    <w:tbl>
      <w:tblPr>
        <w:tblW w:type="auto" w:w="0"/>
        <w:jc w:val="center"/>
        <w:tblLook w:firstColumn="1" w:firstRow="1" w:lastColumn="0" w:lastRow="0" w:noHBand="0" w:noVBand="1" w:val="04A0"/>
      </w:tblPr>
      <w:tblGrid>
        <w:gridCol w:w="9878"/>
      </w:tblGrid>
      <w:tr>
        <w:tc>
          <w:tcPr>
            <w:tcW w:type="dxa" w:w="9878"/>
            <w:shd w:fill="EEF4F1"/>
            <w:tcMar>
              <w:top w:w="170" w:type="dxa"/>
              <w:start w:w="170" w:type="dxa"/>
              <w:bottom w:w="170" w:type="dxa"/>
              <w:end w:w="170" w:type="dxa"/>
            </w:tcMar>
          </w:tcPr>
          <w:p>
            <w:pPr>
              <w:jc w:val="center"/>
            </w:pPr>
            <w:r>
              <w:rPr>
                <w:b/>
                <w:sz w:val="21"/>
              </w:rPr>
              <w:t>DRAFT — ATTORNEY REVIEW — NOT READY TO FILE</w:t>
            </w:r>
          </w:p>
          <w:p>
            <w:pPr>
              <w:jc w:val="center"/>
            </w:pPr>
            <w:r>
              <w:t>Prepared for organizational planning and Texas nonprofit/tax counsel review before filing or adoption.</w:t>
            </w:r>
          </w:p>
          <w:p>
            <w:pPr>
              <w:jc w:val="center"/>
            </w:pPr>
            <w:r>
              <w:t>This packet preserves the resident-voting governance model from the July 2026 Woodhaven Unites drafts while separating advocacy from the proposed charitable Foundation.</w:t>
            </w:r>
          </w:p>
        </w:tc>
      </w:tr>
    </w:tbl>
    <w:p/>
    <w:p>
      <w:pPr>
        <w:jc w:val="center"/>
      </w:pPr>
      <w:r>
        <w:rPr>
          <w:i/>
          <w:sz w:val="22"/>
        </w:rPr>
        <w:t>Independent. Transparent. Resident-Led.</w:t>
      </w:r>
    </w:p>
    <w:p/>
    <w:p>
      <w:pPr>
        <w:pStyle w:val="SmallNote"/>
        <w:jc w:val="center"/>
      </w:pPr>
      <w:r>
        <w:t>August 12, 2026</w:t>
      </w:r>
    </w:p>
    <w:p>
      <w:r>
        <w:br w:type="page"/>
      </w:r>
    </w:p>
    <w:p>
      <w:pPr>
        <w:pStyle w:val="Heading1"/>
        <w:keepNext/>
      </w:pPr>
      <w:r>
        <w:t>Transition Note and Filing Assumption</w:t>
      </w:r>
    </w:p>
    <w:p>
      <w:r>
        <w:t>The July 2026 Woodhaven Unites formation materials were drafted for a single Texas nonprofit corporation, Woodhaven Unites, Inc., intended to operate under Section 501(c)(4). Those materials were expressly marked as drafts and not ready to file. This updated packet assumes the advocacy corporation will use the proposed legal name Woodhaven Unites Action Fund, Inc.</w:t>
      </w:r>
    </w:p>
    <w:tbl>
      <w:tblPr>
        <w:tblW w:type="auto" w:w="0"/>
        <w:jc w:val="center"/>
        <w:tblLook w:firstColumn="1" w:firstRow="1" w:lastColumn="0" w:lastRow="0" w:noHBand="0" w:noVBand="1" w:val="04A0"/>
      </w:tblPr>
      <w:tblGrid>
        <w:gridCol w:w="9878"/>
      </w:tblGrid>
      <w:tr>
        <w:tc>
          <w:tcPr>
            <w:tcW w:type="dxa" w:w="9878"/>
            <w:shd w:fill="F5F1E9"/>
            <w:tcMar>
              <w:top w:w="150" w:type="dxa"/>
              <w:start w:w="170" w:type="dxa"/>
              <w:bottom w:w="150" w:type="dxa"/>
              <w:end w:w="170" w:type="dxa"/>
            </w:tcMar>
          </w:tcPr>
          <w:p>
            <w:r>
              <w:rPr>
                <w:b/>
              </w:rPr>
              <w:t xml:space="preserve">Important: </w:t>
            </w:r>
            <w:r>
              <w:t>If Woodhaven Unites, Inc. has already been filed with the Texas Secretary of State, do not create a duplicate advocacy corporation from this packet. Counsel should determine whether to keep the existing legal name, file a certificate of amendment, or use an assumed-name/public-brand approach. A rename does not restart or replace any Form 8976 obligation.</w:t>
            </w:r>
          </w:p>
        </w:tc>
      </w:tr>
    </w:tbl>
    <w:p>
      <w:pPr>
        <w:pStyle w:val="Heading2"/>
        <w:keepNext/>
      </w:pPr>
      <w:r>
        <w:t>Carried Forward from the Existing Drafts</w:t>
      </w:r>
    </w:p>
    <w:p>
      <w:pPr>
        <w:pStyle w:val="ListBullet"/>
      </w:pPr>
      <w:r>
        <w:t>Free membership; donations are voluntary and voting rights are never conditioned on payment.</w:t>
      </w:r>
    </w:p>
    <w:p>
      <w:pPr>
        <w:pStyle w:val="ListBullet"/>
      </w:pPr>
      <w:r>
        <w:t>Resident Voting Members include homeowners and renters age 18 or older within the Woodhaven service area.</w:t>
      </w:r>
    </w:p>
    <w:p>
      <w:pPr>
        <w:pStyle w:val="ListBullet"/>
      </w:pPr>
      <w:r>
        <w:t>Business Voting Members receive one organizational vote subject to the existing safeguards.</w:t>
      </w:r>
    </w:p>
    <w:p>
      <w:pPr>
        <w:pStyle w:val="ListBullet"/>
      </w:pPr>
      <w:r>
        <w:t>Community Supporting Members may participate but do not vote or hold elected office.</w:t>
      </w:r>
    </w:p>
    <w:p>
      <w:pPr>
        <w:pStyle w:val="ListBullet"/>
      </w:pPr>
      <w:r>
        <w:t>Board elections use independent administration, secure electronic and in-person voting, secret ballots, published totals and a challenge process.</w:t>
      </w:r>
    </w:p>
    <w:p>
      <w:pPr>
        <w:pStyle w:val="ListBullet"/>
      </w:pPr>
      <w:r>
        <w:t>WNA/WCD officer, elected-official, candidate and covered campaign-role independence restrictions with a 12-month cooling-off period.</w:t>
      </w:r>
    </w:p>
    <w:p>
      <w:pPr>
        <w:pStyle w:val="ListBullet"/>
      </w:pPr>
      <w:r>
        <w:t>Presumption of openness, prompt publication of minutes and financial reports, conflict disclosures and member inspection rights.</w:t>
      </w:r>
    </w:p>
    <w:p>
      <w:pPr>
        <w:pStyle w:val="ListBullet"/>
      </w:pPr>
      <w:r>
        <w:t>Existing financial-control thresholds: two approvals above $500 and Board/competitive-quote safeguards for larger contracts.</w:t>
      </w:r>
    </w:p>
    <w:p>
      <w:pPr>
        <w:pStyle w:val="ListBullet"/>
      </w:pPr>
      <w:r>
        <w:t>Resident Forum and Publication Policy protecting viewpoint diversity, source integrity, corrections and privacy.</w:t>
      </w:r>
    </w:p>
    <w:p>
      <w:pPr>
        <w:pStyle w:val="Heading1"/>
        <w:keepNext/>
      </w:pPr>
      <w:r>
        <w:t>1. Draft Certificate of Formation — Texas Form 202 Addendum</w:t>
      </w:r>
    </w:p>
    <w:p>
      <w:pPr>
        <w:pStyle w:val="Heading2"/>
        <w:keepNext/>
      </w:pPr>
      <w:r>
        <w:t>Article 1 — Entity Name and Type</w:t>
      </w:r>
    </w:p>
    <w:p>
      <w:r>
        <w:t>The filing entity being formed is a nonprofit corporation. The name of the entity is WOODHAVEN UNITES ACTION FUND, INC.</w:t>
      </w:r>
    </w:p>
    <w:p>
      <w:pPr>
        <w:pStyle w:val="Heading2"/>
        <w:keepNext/>
      </w:pPr>
      <w:r>
        <w:t>Article 2 — Registered Agent and Registered Office</w:t>
      </w:r>
    </w:p>
    <w:p>
      <w:r>
        <w:t>Initial registered agent: Erika Graham</w:t>
      </w:r>
    </w:p>
    <w:p>
      <w:r>
        <w:t>Registered office: 512 Oakmont Ln N, Fort Worth, Texas 76112</w:t>
      </w:r>
    </w:p>
    <w:p>
      <w:pPr>
        <w:pStyle w:val="SmallNote"/>
      </w:pPr>
      <w:r>
        <w:t>The organizer shall obtain and retain the registered agent's written consent before filing.</w:t>
      </w:r>
    </w:p>
    <w:p>
      <w:pPr>
        <w:pStyle w:val="Heading2"/>
        <w:keepNext/>
      </w:pPr>
      <w:r>
        <w:t>Article 3 — Management</w:t>
      </w:r>
    </w:p>
    <w:p>
      <w:r>
        <w:t>Management of the affairs of the corporation is vested in its Board of Directors. The initial directors shall serve until their successors are elected and qualified.</w:t>
      </w:r>
    </w:p>
    <w:tbl>
      <w:tblPr>
        <w:tblStyle w:val="TableGrid"/>
        <w:tblW w:type="auto" w:w="0"/>
        <w:jc w:val="center"/>
        <w:tblLook w:firstColumn="1" w:firstRow="1" w:lastColumn="0" w:lastRow="0" w:noHBand="0" w:noVBand="1" w:val="04A0"/>
      </w:tblPr>
      <w:tblGrid>
        <w:gridCol w:w="4939"/>
        <w:gridCol w:w="4939"/>
      </w:tblGrid>
      <w:tr>
        <w:trPr>
          <w:tblHeader w:val="true"/>
        </w:trPr>
        <w:tc>
          <w:tcPr>
            <w:tcW w:type="dxa" w:w="4939"/>
          </w:tcPr>
          <w:p>
            <w:r>
              <w:t>Initial Director</w:t>
            </w:r>
          </w:p>
        </w:tc>
        <w:tc>
          <w:tcPr>
            <w:tcW w:type="dxa" w:w="4939"/>
          </w:tcPr>
          <w:p>
            <w:r>
              <w:t>Street or Mailing Address</w:t>
            </w:r>
          </w:p>
        </w:tc>
      </w:tr>
      <w:tr>
        <w:tc>
          <w:tcPr>
            <w:tcW w:type="dxa" w:w="4939"/>
          </w:tcPr>
          <w:p>
            <w:r>
              <w:t>[DIRECTOR 1 LEGAL NAME]</w:t>
            </w:r>
          </w:p>
        </w:tc>
        <w:tc>
          <w:tcPr>
            <w:tcW w:type="dxa" w:w="4939"/>
          </w:tcPr>
          <w:p>
            <w:r>
              <w:t>[DIRECTOR 1 ADDRESS]</w:t>
            </w:r>
          </w:p>
        </w:tc>
      </w:tr>
      <w:tr>
        <w:tc>
          <w:tcPr>
            <w:tcW w:type="dxa" w:w="4939"/>
          </w:tcPr>
          <w:p>
            <w:r>
              <w:t>[DIRECTOR 2 LEGAL NAME]</w:t>
            </w:r>
          </w:p>
        </w:tc>
        <w:tc>
          <w:tcPr>
            <w:tcW w:type="dxa" w:w="4939"/>
          </w:tcPr>
          <w:p>
            <w:r>
              <w:t>[DIRECTOR 2 ADDRESS]</w:t>
            </w:r>
          </w:p>
        </w:tc>
      </w:tr>
      <w:tr>
        <w:tc>
          <w:tcPr>
            <w:tcW w:type="dxa" w:w="4939"/>
          </w:tcPr>
          <w:p>
            <w:r>
              <w:t>[DIRECTOR 3 LEGAL NAME]</w:t>
            </w:r>
          </w:p>
        </w:tc>
        <w:tc>
          <w:tcPr>
            <w:tcW w:type="dxa" w:w="4939"/>
          </w:tcPr>
          <w:p>
            <w:r>
              <w:t>[DIRECTOR 3 ADDRESS]</w:t>
            </w:r>
          </w:p>
        </w:tc>
      </w:tr>
      <w:tr>
        <w:tc>
          <w:tcPr>
            <w:tcW w:type="dxa" w:w="4939"/>
          </w:tcPr>
          <w:p>
            <w:r>
              <w:t>[DIRECTOR 4 LEGAL NAME]</w:t>
            </w:r>
          </w:p>
        </w:tc>
        <w:tc>
          <w:tcPr>
            <w:tcW w:type="dxa" w:w="4939"/>
          </w:tcPr>
          <w:p>
            <w:r>
              <w:t>[DIRECTOR 4 ADDRESS]</w:t>
            </w:r>
          </w:p>
        </w:tc>
      </w:tr>
      <w:tr>
        <w:tc>
          <w:tcPr>
            <w:tcW w:type="dxa" w:w="4939"/>
          </w:tcPr>
          <w:p>
            <w:r>
              <w:t>[DIRECTOR 5 LEGAL NAME]</w:t>
            </w:r>
          </w:p>
        </w:tc>
        <w:tc>
          <w:tcPr>
            <w:tcW w:type="dxa" w:w="4939"/>
          </w:tcPr>
          <w:p>
            <w:r>
              <w:t>[DIRECTOR 5 ADDRESS]</w:t>
            </w:r>
          </w:p>
        </w:tc>
      </w:tr>
    </w:tbl>
    <w:p>
      <w:pPr>
        <w:pStyle w:val="Heading2"/>
        <w:keepNext/>
      </w:pPr>
      <w:r>
        <w:t>Article 4 — Membership</w:t>
      </w:r>
    </w:p>
    <w:p>
      <w:r>
        <w:t>The nonprofit corporation shall have members.</w:t>
      </w:r>
    </w:p>
    <w:p>
      <w:pPr>
        <w:pStyle w:val="Heading2"/>
        <w:keepNext/>
      </w:pPr>
      <w:r>
        <w:t>Article 5 — Purpose</w:t>
      </w:r>
    </w:p>
    <w:p>
      <w:pPr/>
      <w:r>
        <w:t>The Corporation is organized and shall be operated exclusively to promote social welfare within the meaning of Section 501(c)(4) of the Internal Revenue Code, as amended. Its purposes include promoting the common good and general welfare of the Woodhaven community and the broader public through civic education, resident engagement, public participation, government transparency, neighborhood advocacy, community planning, public safety, preservation of neighborhood history and character, quality-of-life initiatives and other lawful civic-betterment and social-improvement activities. Its programs shall be conducted for the benefit of the community as a whole and not merely for its members.</w:t>
      </w:r>
    </w:p>
    <w:p>
      <w:pPr>
        <w:pStyle w:val="Heading2"/>
        <w:keepNext/>
      </w:pPr>
      <w:r>
        <w:t>Supplemental Provisions</w:t>
      </w:r>
    </w:p>
    <w:p>
      <w:r>
        <w:t>No private inurement. No part of the net earnings shall inure to the benefit of, or be distributable to, any director, officer, member or other private person, except reasonable compensation for services actually rendered and payments in furtherance of exempt purposes.</w:t>
      </w:r>
    </w:p>
    <w:p>
      <w:r>
        <w:t>Advocacy and lobbying. The Corporation may engage in lobbying, grassroots advocacy, petitions, public education and other activities permitted to an organization described in Section 501(c)(4).</w:t>
      </w:r>
    </w:p>
    <w:p>
      <w:r>
        <w:t>Candidate campaigns. As an internal governance restriction, the Corporation shall not endorse or oppose candidates for public office, make candidate campaign contributions or coordinate with candidate campaigns unless these bylaws are later amended after legal and tax review. Nothing in this clause limits lawful nonpartisan voter education or neutral candidate forums.</w:t>
      </w:r>
    </w:p>
    <w:p>
      <w:r>
        <w:t>Dissolution. Upon dissolution, after payment of lawful liabilities, remaining assets shall be distributed to one or more organizations then recognized as exempt under Section 501(c)(4) or Section 501(c)(3), or to the federal government or a state or local government for a public purpose. No assets shall be distributed to a director, officer, member or other private person.</w:t>
      </w:r>
    </w:p>
    <w:p>
      <w:r>
        <w:t>Nondiscrimination. The Corporation shall not discriminate in membership, programs or services on the basis of race, color, religion, sex, national origin, disability, age, sexual orientation, gender identity, political affiliation or viewpoint, subject to objective geographic and organizational eligibility rules.</w:t>
      </w:r>
    </w:p>
    <w:p>
      <w:pPr>
        <w:pStyle w:val="Heading2"/>
        <w:keepNext/>
      </w:pPr>
      <w:r>
        <w:t>Initial Mailing Address; Organizer; Effectiveness</w:t>
      </w:r>
    </w:p>
    <w:p>
      <w:r>
        <w:t>Initial mailing address: 512 Oakmont Ln N, Fort Worth, Texas 76112</w:t>
      </w:r>
    </w:p>
    <w:p>
      <w:r>
        <w:t>Organizer: Erika Graham, 512 Oakmont Ln N, Fort Worth, Texas 76112</w:t>
      </w:r>
    </w:p>
    <w:p>
      <w:r>
        <w:t>Recommended effectiveness: effective when filed by the Texas Secretary of State.</w:t>
      </w:r>
    </w:p>
    <w:p>
      <w:pPr>
        <w:pStyle w:val="Heading1"/>
        <w:keepNext/>
      </w:pPr>
      <w:r>
        <w:t>2. Founding Charter and Bylaws</w:t>
      </w:r>
    </w:p>
    <w:p>
      <w:pPr>
        <w:pStyle w:val="Heading2"/>
        <w:keepNext/>
      </w:pPr>
      <w:r>
        <w:t>PREAMBLE</w:t>
      </w:r>
    </w:p>
    <w:p>
      <w:r>
        <w:t>We, the residents and supporters of Woodhaven, establish Woodhaven Unites Action Fund to strengthen our neighborhood through openness, civic engagement, factual information, vigorous but responsible advocacy and mutual respect. We believe every resident deserves timely information, meaningful opportunities to participate and confidence that decisions affecting the neighborhood are made fairly, transparently and in the public interest.</w:t>
      </w:r>
    </w:p>
    <w:p>
      <w:pPr>
        <w:pStyle w:val="Heading2"/>
        <w:keepNext/>
      </w:pPr>
      <w:r>
        <w:t>ARTICLE I — NAME, STATUS AND GUIDING PRINCIPLE</w:t>
      </w:r>
    </w:p>
    <w:p>
      <w:pPr>
        <w:pStyle w:val="Heading3"/>
        <w:keepNext/>
      </w:pPr>
      <w:r>
        <w:t>Section 1. Name.</w:t>
      </w:r>
    </w:p>
    <w:p>
      <w:r>
        <w:t>The name of the corporation is Woodhaven Unites Action Fund, Inc. (the “Corporation” or “Action Fund”). The Corporation may use “Woodhaven Unites” as a shared public-facing brand under an affiliation agreement with Woodhaven Unites Foundation, Inc.</w:t>
      </w:r>
    </w:p>
    <w:p>
      <w:pPr>
        <w:pStyle w:val="Heading3"/>
        <w:keepNext/>
      </w:pPr>
      <w:r>
        <w:t>Section 2. Status.</w:t>
      </w:r>
    </w:p>
    <w:p>
      <w:r>
        <w:t>The Corporation is a Texas nonprofit corporation intended to operate as a social-welfare organization under Section 501(c)(4) of the Internal Revenue Code. Incorporation does not by itself establish federal or state tax exemption.</w:t>
      </w:r>
    </w:p>
    <w:p>
      <w:pPr>
        <w:pStyle w:val="Heading3"/>
        <w:keepNext/>
      </w:pPr>
      <w:r>
        <w:t>Section 3. Guiding principle.</w:t>
      </w:r>
    </w:p>
    <w:p>
      <w:r>
        <w:t>Strong neighborhoods are built through informed residents, open government, respectful disagreement, fair elections, ethical leadership and transparent decision-making.</w:t>
      </w:r>
    </w:p>
    <w:p>
      <w:pPr>
        <w:pStyle w:val="Heading2"/>
        <w:keepNext/>
      </w:pPr>
      <w:r>
        <w:t>ARTICLE II — PURPOSES AND POWERS</w:t>
      </w:r>
    </w:p>
    <w:p>
      <w:pPr>
        <w:pStyle w:val="Heading3"/>
        <w:keepNext/>
      </w:pPr>
      <w:r>
        <w:t>Section 1. Mission.</w:t>
      </w:r>
    </w:p>
    <w:p>
      <w:r>
        <w:t>Woodhaven Unites Action Fund exists to educate, inform, organize and advocate for residents of Woodhaven; promote transparency and accountability in public institutions and community organizations; encourage meaningful participation in decisions affecting Woodhaven; and promote the common good, civic betterment and quality of life of the community.</w:t>
      </w:r>
    </w:p>
    <w:p>
      <w:pPr>
        <w:pStyle w:val="Heading3"/>
        <w:keepNext/>
      </w:pPr>
      <w:r>
        <w:t>Section 2. Activities.</w:t>
      </w:r>
    </w:p>
    <w:p>
      <w:r>
        <w:t>The Corporation may explain public issues; obtain, analyze and publish public records; hold meetings, surveys and forums; advocate before governmental bodies; organize petitions and grassroots action; communicate positions on zoning, platting, TIF, infrastructure, public spending and other matters; support neighborhood quality of life; and collaborate with community stakeholders.</w:t>
      </w:r>
    </w:p>
    <w:p>
      <w:pPr>
        <w:pStyle w:val="Heading3"/>
        <w:keepNext/>
      </w:pPr>
      <w:r>
        <w:t>Section 3. Affiliated charitable work.</w:t>
      </w:r>
    </w:p>
    <w:p>
      <w:r>
        <w:t>Educational, research, charitable and grant-funded programs may be conducted by Woodhaven Unites Foundation, Inc. The Action Fund shall not treat Foundation funds, staff time, grants or restricted resources as available for Action Fund advocacy unless a written lawful reimbursement or grant arrangement expressly permits it.</w:t>
      </w:r>
    </w:p>
    <w:p>
      <w:pPr>
        <w:pStyle w:val="Heading2"/>
        <w:keepNext/>
      </w:pPr>
      <w:r>
        <w:t>ARTICLE III — MEMBERSHIP</w:t>
      </w:r>
    </w:p>
    <w:p>
      <w:pPr>
        <w:pStyle w:val="Heading3"/>
        <w:keepNext/>
      </w:pPr>
      <w:r>
        <w:t>Section 1. Resident Voting Members.</w:t>
      </w:r>
    </w:p>
    <w:p>
      <w:r>
        <w:t>Any individual age 18 or older whose primary residence is within the Woodhaven boundaries may become a Resident Voting Member, whether the individual owns or rents the residence. Each Resident Voting Member is entitled to one vote.</w:t>
      </w:r>
    </w:p>
    <w:p>
      <w:pPr>
        <w:pStyle w:val="Heading3"/>
        <w:keepNext/>
      </w:pPr>
      <w:r>
        <w:t>Section 2. Business Voting Members.</w:t>
      </w:r>
    </w:p>
    <w:p>
      <w:r>
        <w:t>A business with a bona fide physical place of operation within the Woodhaven boundaries may become a Business Voting Member and designate one natural person to exercise one vote. Affiliated businesses operating from the same location collectively receive one vote unless the Board determines they are genuinely separate operations. A business representative may not hold elected office unless independently eligible as a Resident Voting Member.</w:t>
      </w:r>
    </w:p>
    <w:p>
      <w:pPr>
        <w:pStyle w:val="Heading3"/>
        <w:keepNext/>
      </w:pPr>
      <w:r>
        <w:t>Section 3. Community Supporting Members.</w:t>
      </w:r>
    </w:p>
    <w:p>
      <w:r>
        <w:t>Nonresident property owners, former residents, neighborhood alumni, community supporters, civic organizations and others with a legitimate connection to Woodhaven may become Community Supporting Members. They may attend, receive notices, speak, volunteer, donate and serve on non-governing committees, but may not vote or hold elected office.</w:t>
      </w:r>
    </w:p>
    <w:p>
      <w:pPr>
        <w:pStyle w:val="Heading3"/>
        <w:keepNext/>
      </w:pPr>
      <w:r>
        <w:t>Section 4. No financial barrier.</w:t>
      </w:r>
    </w:p>
    <w:p>
      <w:r>
        <w:t>Membership is free. Donations and voluntary contributions may be accepted, but no person shall be denied membership, voting rights or participation because the person does not contribute.</w:t>
      </w:r>
    </w:p>
    <w:p>
      <w:pPr>
        <w:pStyle w:val="Heading3"/>
        <w:keepNext/>
      </w:pPr>
      <w:r>
        <w:t>Section 5. Registration and voting eligibility.</w:t>
      </w:r>
    </w:p>
    <w:p>
      <w:r>
        <w:t>Membership becomes effective upon an application certifying eligibility, subject to reasonable verification. Voting rights begin on the 30th day after registration, except that the Board may establish a one-time founding-member exception before the first public membership meeting.</w:t>
      </w:r>
    </w:p>
    <w:p>
      <w:pPr>
        <w:pStyle w:val="Heading3"/>
        <w:keepNext/>
      </w:pPr>
      <w:r>
        <w:t>Section 6. Neutral administration.</w:t>
      </w:r>
    </w:p>
    <w:p>
      <w:r>
        <w:t>Membership shall not be granted, delayed, suspended or denied because of viewpoint, support for a candidate, position on a neighborhood issue, criticism of the Corporation or relationship with an officer.</w:t>
      </w:r>
    </w:p>
    <w:p>
      <w:pPr>
        <w:pStyle w:val="Heading3"/>
        <w:keepNext/>
      </w:pPr>
      <w:r>
        <w:t>Section 7. Boundaries.</w:t>
      </w:r>
    </w:p>
    <w:p>
      <w:r>
        <w:t>The initial service area is the Woodhaven area of Fort Worth generally bounded by Randol Mill Road on the north, Interstate 820 on the east, Interstate 30 on the south and Woodhaven Boulevard on the west. A material boundary change requires member approval.</w:t>
      </w:r>
    </w:p>
    <w:p>
      <w:pPr>
        <w:pStyle w:val="Heading3"/>
        <w:keepNext/>
      </w:pPr>
      <w:r>
        <w:t>Section 8. Suspension or termination.</w:t>
      </w:r>
    </w:p>
    <w:p>
      <w:r>
        <w:t>Membership may be suspended or terminated only for material falsification of eligibility, serious misconduct threatening safety or operations, or repeated violation of adopted conduct rules, after notice, factual basis and a reasonable opportunity to respond. A two-thirds vote of disinterested directors is required, with appeal to the membership.</w:t>
      </w:r>
    </w:p>
    <w:p>
      <w:pPr>
        <w:pStyle w:val="Heading2"/>
        <w:keepNext/>
      </w:pPr>
      <w:r>
        <w:t>ARTICLE IV — MEMBERS' RIGHTS AND RESPONSIBILITIES</w:t>
      </w:r>
    </w:p>
    <w:p>
      <w:pPr>
        <w:pStyle w:val="Heading3"/>
        <w:keepNext/>
      </w:pPr>
      <w:r>
        <w:t>Section 1. Rights.</w:t>
      </w:r>
    </w:p>
    <w:p>
      <w:r>
        <w:t>Members have rights to timely notice, equal access to voting, governing documents and nonconfidential records, reasonable opportunities to speak and petition, respectful treatment regardless of viewpoint, privacy of personal contact information and secret ballots.</w:t>
      </w:r>
    </w:p>
    <w:p>
      <w:pPr>
        <w:pStyle w:val="Heading3"/>
        <w:keepNext/>
      </w:pPr>
      <w:r>
        <w:t>Section 2. Responsibilities.</w:t>
      </w:r>
    </w:p>
    <w:p>
      <w:r>
        <w:t>Members shall provide accurate eligibility information, comply with lawful meeting rules, protect private information, communicate respectfully and avoid presenting personal views as official positions.</w:t>
      </w:r>
    </w:p>
    <w:p>
      <w:pPr>
        <w:pStyle w:val="Heading2"/>
        <w:keepNext/>
      </w:pPr>
      <w:r>
        <w:t>ARTICLE V — BOARD OF DIRECTORS</w:t>
      </w:r>
    </w:p>
    <w:p>
      <w:pPr>
        <w:pStyle w:val="Heading3"/>
        <w:keepNext/>
      </w:pPr>
      <w:r>
        <w:t>Section 1. Authority.</w:t>
      </w:r>
    </w:p>
    <w:p>
      <w:r>
        <w:t>The Board manages the Corporation consistent with this Charter, applicable law, member-approved positions and the Corporation's duty to the community as a whole.</w:t>
      </w:r>
    </w:p>
    <w:p>
      <w:pPr>
        <w:pStyle w:val="Heading3"/>
        <w:keepNext/>
      </w:pPr>
      <w:r>
        <w:t>Section 2. Size and baseline eligibility.</w:t>
      </w:r>
    </w:p>
    <w:p>
      <w:r>
        <w:t>After the first annual election, the Board shall consist of not fewer than five and not more than nine directors. All elected directors must be Resident Voting Members in good standing. The initial Board may consist of at least three directors.</w:t>
      </w:r>
    </w:p>
    <w:p>
      <w:pPr>
        <w:pStyle w:val="Heading3"/>
        <w:keepNext/>
      </w:pPr>
      <w:r>
        <w:t>Section 3. Independence.</w:t>
      </w:r>
    </w:p>
    <w:p>
      <w:r>
        <w:t>The independence rules stated below are incorporated into these bylaws.</w:t>
      </w:r>
    </w:p>
    <w:p>
      <w:pPr>
        <w:pStyle w:val="ListBullet"/>
      </w:pPr>
      <w:r>
        <w:t>No person may serve as a director while serving as an officer of the Woodhaven Neighborhood Association (WNA) or Woodhaven Community Development, Inc. (WCD), or during the 12 months immediately following that service.</w:t>
      </w:r>
    </w:p>
    <w:p>
      <w:pPr>
        <w:pStyle w:val="ListBullet"/>
      </w:pPr>
      <w:r>
        <w:t>No person may serve as a director while holding elected federal, state, county, municipal, school-district, special-district or other governmental public office, or during the 12 months immediately following that elected service.</w:t>
      </w:r>
    </w:p>
    <w:p>
      <w:pPr>
        <w:pStyle w:val="ListBullet"/>
      </w:pPr>
      <w:r>
        <w:t>No person may serve as a director while actively seeking election or reelection to public office, or while serving as campaign treasurer, campaign manager or a paid campaign employee with managerial or policy-making authority for a candidate. The ineligibility continues for 12 months after the candidacy or covered campaign role ends.</w:t>
      </w:r>
    </w:p>
    <w:p>
      <w:pPr>
        <w:pStyle w:val="ListBullet"/>
      </w:pPr>
      <w:r>
        <w:t>These restrictions apply without regard to political party, viewpoint or position on any neighborhood issue and do not bar otherwise eligible persons from public comment, community participation or non-governing volunteer work.</w:t>
      </w:r>
    </w:p>
    <w:p>
      <w:pPr>
        <w:pStyle w:val="Heading3"/>
        <w:keepNext/>
      </w:pPr>
      <w:r>
        <w:t>Section 4. Terms and limits.</w:t>
      </w:r>
    </w:p>
    <w:p>
      <w:r>
        <w:t>Directors serve staggered two-year terms. No director may serve more than three consecutive full terms without a one-year break. Service of less than one year filling a vacancy does not count as a full term.</w:t>
      </w:r>
    </w:p>
    <w:p>
      <w:pPr>
        <w:pStyle w:val="Heading3"/>
        <w:keepNext/>
      </w:pPr>
      <w:r>
        <w:t>Section 5. Meetings.</w:t>
      </w:r>
    </w:p>
    <w:p>
      <w:r>
        <w:t>The Board shall meet at least quarterly. Regular meetings shall be open to members and, when practical, the public. Remote or hybrid attendance is permitted. Notice and an agenda should ordinarily be published at least seven days in advance.</w:t>
      </w:r>
    </w:p>
    <w:p>
      <w:pPr>
        <w:pStyle w:val="Heading3"/>
        <w:keepNext/>
      </w:pPr>
      <w:r>
        <w:t>Section 6. Quorum and voting.</w:t>
      </w:r>
    </w:p>
    <w:p>
      <w:r>
        <w:t>A majority of directors then in office constitutes a quorum. Unless a greater vote is required, action requires a majority of directors present and voting. Proxy voting is prohibited.</w:t>
      </w:r>
    </w:p>
    <w:p>
      <w:pPr>
        <w:pStyle w:val="Heading3"/>
        <w:keepNext/>
      </w:pPr>
      <w:r>
        <w:t>Section 7. Executive sessions.</w:t>
      </w:r>
    </w:p>
    <w:p>
      <w:r>
        <w:t>Executive sessions are limited to privileged legal advice, pending or threatened litigation, sensitive personnel matters, negotiations where public disclosure would materially harm the Corporation, or protection of personal information. No final action may be taken in closed session.</w:t>
      </w:r>
    </w:p>
    <w:p>
      <w:pPr>
        <w:pStyle w:val="Heading3"/>
        <w:keepNext/>
      </w:pPr>
      <w:r>
        <w:t>Section 8. Vacancies.</w:t>
      </w:r>
    </w:p>
    <w:p>
      <w:r>
        <w:t>The Board may fill a vacancy until the next annual election. A vacancy in more than one-third of elected seats triggers a special member election unless the annual election is within 90 days.</w:t>
      </w:r>
    </w:p>
    <w:p>
      <w:pPr>
        <w:pStyle w:val="Heading3"/>
        <w:keepNext/>
      </w:pPr>
      <w:r>
        <w:t>Section 9. Removal and recall.</w:t>
      </w:r>
    </w:p>
    <w:p>
      <w:r>
        <w:t>A director may be removed for serious misconduct, undisclosed conflict, breach of fiduciary duty, repeated unexcused absence or material bylaw violation after notice and opportunity to respond. Board-recommended removal requires two-thirds of disinterested directors and final member approval. A petition signed by 25 percent of eligible voting members requires a recall election.</w:t>
      </w:r>
    </w:p>
    <w:p>
      <w:pPr>
        <w:pStyle w:val="Heading3"/>
        <w:keepNext/>
      </w:pPr>
      <w:r>
        <w:t>Section 10. Compensation.</w:t>
      </w:r>
    </w:p>
    <w:p>
      <w:r>
        <w:t>Directors and officers receive no compensation for board service. Reasonable documented preapproved expenses may be reimbursed. Any compensated services outside board duties require conflict disclosure and disinterested approval.</w:t>
      </w:r>
    </w:p>
    <w:p>
      <w:pPr>
        <w:pStyle w:val="Heading2"/>
        <w:keepNext/>
      </w:pPr>
      <w:r>
        <w:t>ARTICLE VI — OFFICERS</w:t>
      </w:r>
    </w:p>
    <w:p>
      <w:pPr>
        <w:pStyle w:val="Heading3"/>
        <w:keepNext/>
      </w:pPr>
      <w:r>
        <w:t>Section 1. Offices.</w:t>
      </w:r>
    </w:p>
    <w:p>
      <w:r>
        <w:t>The officers are President, Vice President, Secretary and Treasurer. The Board may create additional offices not inconsistent with these bylaws.</w:t>
      </w:r>
    </w:p>
    <w:p>
      <w:pPr>
        <w:pStyle w:val="Heading3"/>
        <w:keepNext/>
      </w:pPr>
      <w:r>
        <w:t>Section 2. Election and term.</w:t>
      </w:r>
    </w:p>
    <w:p>
      <w:r>
        <w:t>Officers are elected by the Board from among eligible directors and serve one-year terms until successors are elected.</w:t>
      </w:r>
    </w:p>
    <w:p>
      <w:pPr>
        <w:pStyle w:val="Heading3"/>
        <w:keepNext/>
      </w:pPr>
      <w:r>
        <w:t>Section 3. Duties.</w:t>
      </w:r>
    </w:p>
    <w:p>
      <w:r>
        <w:t>The President provides leadership and presides; the Vice President acts in the President's absence; the Secretary maintains corporate records and notices; the Treasurer oversees financial controls, reconciliations, reports and required filings.</w:t>
      </w:r>
    </w:p>
    <w:p>
      <w:pPr>
        <w:pStyle w:val="Heading3"/>
        <w:keepNext/>
      </w:pPr>
      <w:r>
        <w:t>Section 4. Separation of duties.</w:t>
      </w:r>
    </w:p>
    <w:p>
      <w:r>
        <w:t>The same person should not serve simultaneously as President and Treasurer. No person may approve a payment to themselves.</w:t>
      </w:r>
    </w:p>
    <w:p>
      <w:pPr>
        <w:pStyle w:val="Heading2"/>
        <w:keepNext/>
      </w:pPr>
      <w:r>
        <w:t>ARTICLE VII — MEMBERSHIP MEETINGS AND MEMBER ACTION</w:t>
      </w:r>
    </w:p>
    <w:p>
      <w:pPr>
        <w:pStyle w:val="Heading3"/>
        <w:keepNext/>
      </w:pPr>
      <w:r>
        <w:t>Section 1. Annual meeting.</w:t>
      </w:r>
    </w:p>
    <w:p>
      <w:r>
        <w:t>At least one annual membership meeting shall be held for elections, reports and member business.</w:t>
      </w:r>
    </w:p>
    <w:p>
      <w:pPr>
        <w:pStyle w:val="Heading3"/>
        <w:keepNext/>
      </w:pPr>
      <w:r>
        <w:t>Section 2. Special meetings.</w:t>
      </w:r>
    </w:p>
    <w:p>
      <w:r>
        <w:t>A special meeting may be called by the Board or by a petition signed by at least 10 percent of eligible voting members.</w:t>
      </w:r>
    </w:p>
    <w:p>
      <w:pPr>
        <w:pStyle w:val="Heading3"/>
        <w:keepNext/>
      </w:pPr>
      <w:r>
        <w:t>Section 3. Remote participation.</w:t>
      </w:r>
    </w:p>
    <w:p>
      <w:r>
        <w:t>Members participating through an approved remote system are deemed present when identity can be reasonably verified.</w:t>
      </w:r>
    </w:p>
    <w:p>
      <w:pPr>
        <w:pStyle w:val="Heading3"/>
        <w:keepNext/>
      </w:pPr>
      <w:r>
        <w:t>Section 4. Quorum.</w:t>
      </w:r>
    </w:p>
    <w:p>
      <w:r>
        <w:t>A quorum is 10 percent of eligible voting members or 25 eligible voting members, whichever is less, provided at least 10 eligible voting members are present. The Board shall review this threshold annually as membership grows.</w:t>
      </w:r>
    </w:p>
    <w:p>
      <w:pPr>
        <w:pStyle w:val="Heading3"/>
        <w:keepNext/>
      </w:pPr>
      <w:r>
        <w:t>Section 5. Member initiatives.</w:t>
      </w:r>
    </w:p>
    <w:p>
      <w:r>
        <w:t>A petition signed by 10 percent of eligible voting members requires the Board to place the issue on an agenda. A petition signed by 20 percent requires a membership vote unless the proposed action is unlawful or beyond corporate authority.</w:t>
      </w:r>
    </w:p>
    <w:p>
      <w:pPr>
        <w:pStyle w:val="Heading3"/>
        <w:keepNext/>
      </w:pPr>
      <w:r>
        <w:t>Section 6. Proxies.</w:t>
      </w:r>
    </w:p>
    <w:p>
      <w:r>
        <w:t>Proxy voting is prohibited. Approved electronic or absentee voting does not constitute proxy voting.</w:t>
      </w:r>
    </w:p>
    <w:p>
      <w:pPr>
        <w:pStyle w:val="Heading2"/>
        <w:keepNext/>
      </w:pPr>
      <w:r>
        <w:t>ARTICLE VIII — ELECTIONS</w:t>
      </w:r>
    </w:p>
    <w:p>
      <w:pPr>
        <w:pStyle w:val="Heading3"/>
        <w:keepNext/>
      </w:pPr>
      <w:r>
        <w:t>Section 1.</w:t>
      </w:r>
    </w:p>
    <w:p>
      <w:r>
        <w:t>Elections shall be conducted under the Election Code adopted with these bylaws. Controlling principles are equal access, secret ballots, objective eligibility verification, independent administration, secure electronic and in-person voting, published totals and a defined challenge process.</w:t>
      </w:r>
    </w:p>
    <w:p>
      <w:pPr>
        <w:pStyle w:val="Heading2"/>
        <w:keepNext/>
      </w:pPr>
      <w:r>
        <w:t>ARTICLE IX — COMMITTEES</w:t>
      </w:r>
    </w:p>
    <w:p>
      <w:pPr>
        <w:pStyle w:val="Heading3"/>
        <w:keepNext/>
      </w:pPr>
      <w:r>
        <w:t>Section 1. Standing committees.</w:t>
      </w:r>
    </w:p>
    <w:p>
      <w:r>
        <w:t>The Board may establish committees including Government Transparency, Community Engagement, Finance and Audit, Membership and Elections, Planning and Development, Public Safety, History and Preservation and Communications.</w:t>
      </w:r>
    </w:p>
    <w:p>
      <w:pPr>
        <w:pStyle w:val="Heading3"/>
        <w:keepNext/>
      </w:pPr>
      <w:r>
        <w:t>Section 2. Open participation.</w:t>
      </w:r>
    </w:p>
    <w:p>
      <w:r>
        <w:t>Committees should include members with varied viewpoints and relevant experience. Supporting Members may serve unless the committee exercises delegated Board authority or handles confidential records.</w:t>
      </w:r>
    </w:p>
    <w:p>
      <w:pPr>
        <w:pStyle w:val="Heading3"/>
        <w:keepNext/>
      </w:pPr>
      <w:r>
        <w:t>Section 3. Limits.</w:t>
      </w:r>
    </w:p>
    <w:p>
      <w:r>
        <w:t>No committee may bind the Corporation, spend funds, issue an official position or enter a contract unless expressly authorized.</w:t>
      </w:r>
    </w:p>
    <w:p>
      <w:pPr>
        <w:pStyle w:val="Heading2"/>
        <w:keepNext/>
      </w:pPr>
      <w:r>
        <w:t>ARTICLE X — FINANCE AND STEWARDSHIP</w:t>
      </w:r>
    </w:p>
    <w:p>
      <w:pPr>
        <w:pStyle w:val="Heading3"/>
        <w:keepNext/>
      </w:pPr>
      <w:r>
        <w:t>Section 1. Fiscal year.</w:t>
      </w:r>
    </w:p>
    <w:p>
      <w:r>
        <w:t>The fiscal year is January 1 through December 31 unless changed by Board resolution.</w:t>
      </w:r>
    </w:p>
    <w:p>
      <w:pPr>
        <w:pStyle w:val="Heading3"/>
        <w:keepNext/>
      </w:pPr>
      <w:r>
        <w:t>Section 2. Budget.</w:t>
      </w:r>
    </w:p>
    <w:p>
      <w:r>
        <w:t>The Board shall adopt and publish an annual budget. Material unbudgeted expenditures shall be explained in minutes and reflected in the next financial report.</w:t>
      </w:r>
    </w:p>
    <w:p>
      <w:pPr>
        <w:pStyle w:val="Heading3"/>
        <w:keepNext/>
      </w:pPr>
      <w:r>
        <w:t>Section 3. Accounts.</w:t>
      </w:r>
    </w:p>
    <w:p>
      <w:r>
        <w:t>All funds must be held in accounts titled in the Action Fund's legal name and EIN. No organizational funds may be held in personal accounts. Foundation funds and grant-restricted funds shall never be commingled with Action Fund funds.</w:t>
      </w:r>
    </w:p>
    <w:p>
      <w:pPr>
        <w:pStyle w:val="Heading3"/>
        <w:keepNext/>
      </w:pPr>
      <w:r>
        <w:t>Section 4. Reports.</w:t>
      </w:r>
    </w:p>
    <w:p>
      <w:r>
        <w:t>The Treasurer shall report at each regular Board meeting and quarterly to the membership. Annual statements, approved budget and required federal filings shall be posted publicly with protected information redacted.</w:t>
      </w:r>
    </w:p>
    <w:p>
      <w:pPr>
        <w:pStyle w:val="Heading3"/>
        <w:keepNext/>
      </w:pPr>
      <w:r>
        <w:t>Section 5. Independent review.</w:t>
      </w:r>
    </w:p>
    <w:p>
      <w:r>
        <w:t>At least annually, persons who are not check signers shall review reconciliations, receipts, disbursements and reporting. External review or audit shall be obtained when required by law, grants, contracts or scale of operations.</w:t>
      </w:r>
    </w:p>
    <w:p>
      <w:pPr>
        <w:pStyle w:val="Heading2"/>
        <w:keepNext/>
      </w:pPr>
      <w:r>
        <w:t>ARTICLE XI — TRANSPARENCY GUARANTEE</w:t>
      </w:r>
    </w:p>
    <w:p>
      <w:pPr>
        <w:pStyle w:val="Heading3"/>
        <w:keepNext/>
      </w:pPr>
      <w:r>
        <w:t>Section 1.</w:t>
      </w:r>
    </w:p>
    <w:p>
      <w:r>
        <w:t>The Corporation operates under a presumption of openness. Except where confidentiality is legally required or necessary for privacy, security, privilege or legitimate negotiations, it shall publish or make reasonably available its certificate, bylaws, policies, notices, agendas, approved minutes, Board resolutions, budgets, financial reports, required tax filings, relevant conflict disclosures and substantive committee reports. Draft minutes should be published within 14 days and clearly marked draft.</w:t>
      </w:r>
    </w:p>
    <w:p>
      <w:pPr>
        <w:pStyle w:val="Heading2"/>
        <w:keepNext/>
      </w:pPr>
      <w:r>
        <w:t>ARTICLE XII — ETHICS AND CONFLICTS</w:t>
      </w:r>
    </w:p>
    <w:p>
      <w:pPr>
        <w:pStyle w:val="Heading3"/>
        <w:keepNext/>
      </w:pPr>
      <w:r>
        <w:t>Section 1.</w:t>
      </w:r>
    </w:p>
    <w:p>
      <w:r>
        <w:t>Directors, officers and committee leaders shall act in good faith, disclose actual and apparent conflicts, avoid use of organizational information for private advantage, preserve privacy and recuse when impartial participation could reasonably be questioned. Annual written disclosures and eligibility certifications are required.</w:t>
      </w:r>
    </w:p>
    <w:p>
      <w:pPr>
        <w:pStyle w:val="Heading3"/>
        <w:keepNext/>
      </w:pPr>
      <w:r>
        <w:t>Section 2. Affiliated-entity conflicts.</w:t>
      </w:r>
    </w:p>
    <w:p>
      <w:r>
        <w:t>Transactions or allocations involving Woodhaven Unites Foundation, Inc. are related-party matters requiring documented terms, reasonable allocation methodology and approval by disinterested directors.</w:t>
      </w:r>
    </w:p>
    <w:p>
      <w:pPr>
        <w:pStyle w:val="Heading2"/>
        <w:keepNext/>
      </w:pPr>
      <w:r>
        <w:t>ARTICLE XIII — PUBLIC POSITIONS AND COMMUNICATIONS</w:t>
      </w:r>
    </w:p>
    <w:p>
      <w:pPr>
        <w:pStyle w:val="Heading3"/>
        <w:keepNext/>
      </w:pPr>
      <w:r>
        <w:t>Section 1.</w:t>
      </w:r>
    </w:p>
    <w:p>
      <w:r>
        <w:t>Official positions shall be based on documented facts, member input, Board or member authorization and clear disclosure of the process used. Public statements must distinguish fact, allegation, opinion and unresolved question.</w:t>
      </w:r>
    </w:p>
    <w:p>
      <w:pPr>
        <w:pStyle w:val="Heading3"/>
        <w:keepNext/>
      </w:pPr>
      <w:r>
        <w:t>Section 2. Entity identification.</w:t>
      </w:r>
    </w:p>
    <w:p>
      <w:r>
        <w:t>Advocacy communications, petitions, lobbying calls-to-action and official positions shall identify the Action Fund as the responsible entity and shall not imply that a Foundation grant, donor or charitable program sponsored the advocacy.</w:t>
      </w:r>
    </w:p>
    <w:p>
      <w:pPr>
        <w:pStyle w:val="Heading2"/>
        <w:keepNext/>
      </w:pPr>
      <w:r>
        <w:t>ARTICLE XIV — RECORDS, PRIVACY AND RETENTION</w:t>
      </w:r>
    </w:p>
    <w:p>
      <w:pPr>
        <w:pStyle w:val="Heading3"/>
        <w:keepNext/>
      </w:pPr>
      <w:r>
        <w:t>Section 1.</w:t>
      </w:r>
    </w:p>
    <w:p>
      <w:r>
        <w:t>The Corporation shall maintain accurate corporate, membership, financial, election, policy, lobbying and meeting records. Public-facing records shall protect home addresses, telephone numbers, email addresses, ballot choices, bank information, privileged material and other sensitive data.</w:t>
      </w:r>
    </w:p>
    <w:p>
      <w:pPr>
        <w:pStyle w:val="Heading2"/>
        <w:keepNext/>
      </w:pPr>
      <w:r>
        <w:t>ARTICLE XV — LIABILITY AND INDEMNIFICATION</w:t>
      </w:r>
    </w:p>
    <w:p>
      <w:pPr>
        <w:pStyle w:val="Heading3"/>
        <w:keepNext/>
      </w:pPr>
      <w:r>
        <w:t>Section 1.</w:t>
      </w:r>
    </w:p>
    <w:p>
      <w:r>
        <w:t>To the fullest extent permitted by Texas law, the Corporation may indemnify a director, officer, employee or volunteer who acted in good faith and reasonably believed the conduct was in the Corporation's best interests. Indemnification does not apply to fraud, willful misconduct, knowing violation of law, improper personal benefit or acts outside authorized duties.</w:t>
      </w:r>
    </w:p>
    <w:p>
      <w:pPr>
        <w:pStyle w:val="Heading2"/>
        <w:keepNext/>
      </w:pPr>
      <w:r>
        <w:t>ARTICLE XVI — AMENDMENTS AND DISSOLUTION</w:t>
      </w:r>
    </w:p>
    <w:p>
      <w:pPr>
        <w:pStyle w:val="Heading3"/>
        <w:keepNext/>
      </w:pPr>
      <w:r>
        <w:t>Section 1. Amendments.</w:t>
      </w:r>
    </w:p>
    <w:p>
      <w:r>
        <w:t>These bylaws may be amended by two-thirds of votes cast by eligible voting members after at least 21 days' notice containing the proposed text and explanation. The Board may make nonsubstantive corrections by two-thirds vote if promptly disclosed, but may not change member rights, election rules, transparency requirements, Board powers, director eligibility requirements or dissolution terms without member approval.</w:t>
      </w:r>
    </w:p>
    <w:p>
      <w:pPr>
        <w:pStyle w:val="Heading3"/>
        <w:keepNext/>
      </w:pPr>
      <w:r>
        <w:t>Section 2. Dissolution.</w:t>
      </w:r>
    </w:p>
    <w:p>
      <w:r>
        <w:t>Dissolution requires approval under Texas law and two-thirds of votes cast by eligible voting members after at least 30 days' notice. Assets shall be distributed as stated in the Certificate of Formation.</w:t>
      </w:r>
    </w:p>
    <w:p>
      <w:pPr>
        <w:pStyle w:val="Heading3"/>
        <w:keepNext/>
      </w:pPr>
      <w:r>
        <w:t>Section 3. Parliamentary authority.</w:t>
      </w:r>
    </w:p>
    <w:p>
      <w:r>
        <w:t>The current edition of Robert's Rules of Order Newly Revised governs procedural questions not addressed by law, the Certificate, these bylaws or adopted policies, provided it is applied to facilitate rather than obstruct fair participation.</w:t>
      </w:r>
    </w:p>
    <w:p>
      <w:pPr>
        <w:pStyle w:val="Heading2"/>
        <w:keepNext/>
      </w:pPr>
      <w:r>
        <w:t>CERTIFICATION</w:t>
      </w:r>
    </w:p>
    <w:p>
      <w:r>
        <w:t>These bylaws were adopted by the Board of Directors of Woodhaven Unites Action Fund, Inc. on [DATE OF ADOPTION].</w:t>
      </w:r>
    </w:p>
    <w:p>
      <w:pPr>
        <w:spacing w:after="0" w:before="0" w:line="168" w:lineRule="auto"/>
      </w:pPr>
    </w:p>
    <w:p>
      <w:pPr>
        <w:spacing w:after="0"/>
        <w:keepNext/>
      </w:pPr>
      <w:r>
        <w:t>____________________________________________</w:t>
      </w:r>
    </w:p>
    <w:p>
      <w:pPr>
        <w:pStyle w:val="SmallNote"/>
        <w:keepNext/>
      </w:pPr>
      <w:r>
        <w:t>Secretary, Woodhaven Unites Action Fund, Inc.</w:t>
      </w:r>
    </w:p>
    <w:p>
      <w:pPr>
        <w:pStyle w:val="SmallNote"/>
        <w:keepNext/>
      </w:pPr>
      <w:r>
        <w:t>Date: ____________________</w:t>
      </w:r>
    </w:p>
    <w:p>
      <w:pPr>
        <w:spacing w:after="0" w:before="0" w:line="168" w:lineRule="auto"/>
      </w:pPr>
    </w:p>
    <w:p>
      <w:pPr>
        <w:spacing w:after="0"/>
        <w:keepNext/>
      </w:pPr>
      <w:r>
        <w:t>____________________________________________</w:t>
      </w:r>
    </w:p>
    <w:p>
      <w:pPr>
        <w:pStyle w:val="SmallNote"/>
        <w:keepNext/>
      </w:pPr>
      <w:r>
        <w:t>President, Woodhaven Unites Action Fund, Inc.</w:t>
      </w:r>
    </w:p>
    <w:p>
      <w:pPr>
        <w:pStyle w:val="SmallNote"/>
        <w:keepNext/>
      </w:pPr>
      <w:r>
        <w:t>Date: ____________________</w:t>
      </w:r>
    </w:p>
    <w:p>
      <w:pPr>
        <w:pStyle w:val="Heading1"/>
        <w:keepNext/>
      </w:pPr>
      <w:r>
        <w:t>3. Residents' Bill of Rights</w:t>
      </w:r>
    </w:p>
    <w:p>
      <w:pPr>
        <w:pStyle w:val="Heading3"/>
        <w:keepNext/>
      </w:pPr>
      <w:r>
        <w:t>The Right to Information</w:t>
      </w:r>
    </w:p>
    <w:p>
      <w:r>
        <w:t>Residents are entitled to timely, understandable and accurate information about organizational actions and public matters affecting Woodhaven.</w:t>
      </w:r>
    </w:p>
    <w:p>
      <w:pPr>
        <w:pStyle w:val="Heading3"/>
        <w:keepNext/>
      </w:pPr>
      <w:r>
        <w:t>The Right to Participate</w:t>
      </w:r>
    </w:p>
    <w:p>
      <w:r>
        <w:t>Residents must have practical opportunities to attend meetings, comment, volunteer, petition, vote and seek office if eligible.</w:t>
      </w:r>
    </w:p>
    <w:p>
      <w:pPr>
        <w:pStyle w:val="Heading3"/>
        <w:keepNext/>
      </w:pPr>
      <w:r>
        <w:t>The Right to Equal Treatment</w:t>
      </w:r>
    </w:p>
    <w:p>
      <w:r>
        <w:t>Rules must be objective, published in advance and applied without favoritism based on viewpoint or relationships.</w:t>
      </w:r>
    </w:p>
    <w:p>
      <w:pPr>
        <w:pStyle w:val="Heading3"/>
        <w:keepNext/>
      </w:pPr>
      <w:r>
        <w:t>The Right to Fair Elections</w:t>
      </w:r>
    </w:p>
    <w:p>
      <w:r>
        <w:t>Elections must include secure electronic access, secret ballots, verified eligibility, independent administration, published totals and a challenge process.</w:t>
      </w:r>
    </w:p>
    <w:p>
      <w:pPr>
        <w:pStyle w:val="Heading3"/>
        <w:keepNext/>
      </w:pPr>
      <w:r>
        <w:t>The Right to Financial Transparency</w:t>
      </w:r>
    </w:p>
    <w:p>
      <w:r>
        <w:t>Budgets, reports, material expenditures and required filings must be available without repeated demands.</w:t>
      </w:r>
    </w:p>
    <w:p>
      <w:pPr>
        <w:pStyle w:val="Heading3"/>
        <w:keepNext/>
      </w:pPr>
      <w:r>
        <w:t>The Right to Open Meetings</w:t>
      </w:r>
    </w:p>
    <w:p>
      <w:r>
        <w:t>Organizational business should be conducted openly except for narrow, stated confidentiality needs.</w:t>
      </w:r>
    </w:p>
    <w:p>
      <w:pPr>
        <w:pStyle w:val="Heading3"/>
        <w:keepNext/>
      </w:pPr>
      <w:r>
        <w:t>The Right to Inspect Records</w:t>
      </w:r>
    </w:p>
    <w:p>
      <w:r>
        <w:t>Members may inspect nonconfidential organizational records under reasonable, viewpoint-neutral procedures.</w:t>
      </w:r>
    </w:p>
    <w:p>
      <w:pPr>
        <w:pStyle w:val="Heading3"/>
        <w:keepNext/>
      </w:pPr>
      <w:r>
        <w:t>The Right to Privacy</w:t>
      </w:r>
    </w:p>
    <w:p>
      <w:r>
        <w:t>Personal contact information, ballot choices and sensitive records must be protected.</w:t>
      </w:r>
    </w:p>
    <w:p>
      <w:pPr>
        <w:pStyle w:val="Heading3"/>
        <w:keepNext/>
      </w:pPr>
      <w:r>
        <w:t>The Right to Respectful Disagreement</w:t>
      </w:r>
    </w:p>
    <w:p>
      <w:r>
        <w:t>Criticism, minority views and good-faith dissent are legitimate parts of civic life.</w:t>
      </w:r>
    </w:p>
    <w:p>
      <w:pPr>
        <w:pStyle w:val="Heading3"/>
        <w:keepNext/>
      </w:pPr>
      <w:r>
        <w:t>The Right to Accountability</w:t>
      </w:r>
    </w:p>
    <w:p>
      <w:r>
        <w:t>Leaders must disclose conflicts, explain decisions, follow the bylaws and remain subject to recall and removal procedures.</w:t>
      </w:r>
    </w:p>
    <w:p>
      <w:pPr>
        <w:pStyle w:val="Heading1"/>
        <w:keepNext/>
      </w:pPr>
      <w:r>
        <w:t>4. Election Code</w:t>
      </w:r>
    </w:p>
    <w:p>
      <w:pPr>
        <w:pStyle w:val="Heading2"/>
        <w:keepNext/>
      </w:pPr>
      <w:r>
        <w:t>Section 1. Annual schedule.</w:t>
      </w:r>
    </w:p>
    <w:p>
      <w:pPr>
        <w:pStyle w:val="ListBullet"/>
      </w:pPr>
      <w:r>
        <w:t>At least 60 days before election: Board appoints a three- or five-person Election Committee.</w:t>
      </w:r>
    </w:p>
    <w:p>
      <w:pPr>
        <w:pStyle w:val="ListBullet"/>
      </w:pPr>
      <w:r>
        <w:t>At least 45 days before election: nominations open and election notice is published.</w:t>
      </w:r>
    </w:p>
    <w:p>
      <w:pPr>
        <w:pStyle w:val="ListBullet"/>
      </w:pPr>
      <w:r>
        <w:t>At least 30 days before election: nominations close unless extended equally for all offices.</w:t>
      </w:r>
    </w:p>
    <w:p>
      <w:pPr>
        <w:pStyle w:val="ListBullet"/>
      </w:pPr>
      <w:r>
        <w:t>14 days before election: Secretary and Election Committee certify the eligible voter list.</w:t>
      </w:r>
    </w:p>
    <w:p>
      <w:pPr>
        <w:pStyle w:val="ListBullet"/>
      </w:pPr>
      <w:r>
        <w:t>At least 10 days before voting opens: candidate statements and voting instructions are distributed.</w:t>
      </w:r>
    </w:p>
    <w:p>
      <w:pPr>
        <w:pStyle w:val="ListBullet"/>
      </w:pPr>
      <w:r>
        <w:t>Voting period: at least five consecutive days, including electronic voting and an in-person opportunity.</w:t>
      </w:r>
    </w:p>
    <w:p>
      <w:pPr>
        <w:pStyle w:val="ListBullet"/>
      </w:pPr>
      <w:r>
        <w:t>Within 48 hours after close: Election Committee publishes certified totals.</w:t>
      </w:r>
    </w:p>
    <w:p>
      <w:pPr>
        <w:pStyle w:val="ListBullet"/>
      </w:pPr>
      <w:r>
        <w:t>Within five days after certification: deadline for written election challenge.</w:t>
      </w:r>
    </w:p>
    <w:p>
      <w:pPr>
        <w:pStyle w:val="Heading2"/>
        <w:keepNext/>
      </w:pPr>
      <w:r>
        <w:t>Section 2. Election Committee independence.</w:t>
      </w:r>
    </w:p>
    <w:p>
      <w:pPr>
        <w:pStyle w:val="ListBullet"/>
      </w:pPr>
      <w:r>
        <w:t>Committee members may not be candidates, campaign managers, household members of candidates or persons publicly endorsing a candidate during the election. At least two committee members must participate in ballot reconciliation and certification.</w:t>
      </w:r>
    </w:p>
    <w:p>
      <w:pPr>
        <w:pStyle w:val="Heading2"/>
        <w:keepNext/>
      </w:pPr>
      <w:r>
        <w:t>Section 3. Voter eligibility.</w:t>
      </w:r>
    </w:p>
    <w:p>
      <w:pPr>
        <w:pStyle w:val="ListBullet"/>
      </w:pPr>
      <w:r>
        <w:t>A voter must be an eligible Resident Voting Member or designated representative of a Business Voting Member whose voting rights became effective at least 30 days before the vote. The voter list shall show names and membership class but not public contact information.</w:t>
      </w:r>
    </w:p>
    <w:p>
      <w:pPr>
        <w:pStyle w:val="Heading2"/>
        <w:keepNext/>
      </w:pPr>
      <w:r>
        <w:t>Section 4. Voting methods.</w:t>
      </w:r>
    </w:p>
    <w:p>
      <w:pPr>
        <w:pStyle w:val="ListBullet"/>
      </w:pPr>
      <w:r>
        <w:t>Every election shall offer secure electronic voting and at least one in-person voting opportunity. Mail or accessible absentee ballots may be offered. All methods use the same eligibility rules, deadlines and ballot content. Proxy voting is prohibited.</w:t>
      </w:r>
    </w:p>
    <w:p>
      <w:pPr>
        <w:pStyle w:val="Heading2"/>
        <w:keepNext/>
      </w:pPr>
      <w:r>
        <w:t>Section 5. Secret ballot.</w:t>
      </w:r>
    </w:p>
    <w:p>
      <w:pPr>
        <w:pStyle w:val="ListBullet"/>
      </w:pPr>
      <w:r>
        <w:t>Systems may record whether a member voted to prevent duplicate voting but shall not reveal how the member voted.</w:t>
      </w:r>
    </w:p>
    <w:p>
      <w:pPr>
        <w:pStyle w:val="Heading2"/>
        <w:keepNext/>
      </w:pPr>
      <w:r>
        <w:t>Section 6. Campaign fairness.</w:t>
      </w:r>
    </w:p>
    <w:p>
      <w:pPr>
        <w:pStyle w:val="ListBullet"/>
      </w:pPr>
      <w:r>
        <w:t>Candidates receive substantially equal access to official communication channels; organizational funds, mailing lists, logos and accounts may not favor a candidate; candidate statements use equal limits and neutral formatting; election rules may not be altered after nominations open except for an emergency applied equally.</w:t>
      </w:r>
    </w:p>
    <w:p>
      <w:pPr>
        <w:pStyle w:val="Heading2"/>
        <w:keepNext/>
      </w:pPr>
      <w:r>
        <w:t>Section 7. Counting and reconciliation.</w:t>
      </w:r>
    </w:p>
    <w:p>
      <w:pPr>
        <w:pStyle w:val="ListBullet"/>
      </w:pPr>
      <w:r>
        <w:t>The Election Committee shall reconcile accepted, rejected, duplicate-attempt and challenged ballots and publish certified totals and material irregularities without revealing voters' choices.</w:t>
      </w:r>
    </w:p>
    <w:p>
      <w:pPr>
        <w:pStyle w:val="Heading2"/>
        <w:keepNext/>
      </w:pPr>
      <w:r>
        <w:t>Section 8. Challenges.</w:t>
      </w:r>
    </w:p>
    <w:p>
      <w:pPr>
        <w:pStyle w:val="ListBullet"/>
      </w:pPr>
      <w:r>
        <w:t>A challenge must identify a specific rule violation and facts that could have affected the result. Records shall be preserved. A disinterested panel or the membership decides the challenge, with proportionate remedies including correction, recount, extension or a new election.</w:t>
      </w:r>
    </w:p>
    <w:p>
      <w:pPr>
        <w:pStyle w:val="Heading1"/>
        <w:keepNext/>
      </w:pPr>
      <w:r>
        <w:t>5. Conflict of Interest and Code of Ethics</w:t>
      </w:r>
    </w:p>
    <w:p>
      <w:pPr>
        <w:pStyle w:val="Heading2"/>
        <w:keepNext/>
      </w:pPr>
      <w:r>
        <w:t>Annual disclosure</w:t>
      </w:r>
    </w:p>
    <w:p>
      <w:r>
        <w:t>Each director, officer and committee chair shall annually disclose financial, professional, family, organizational, political and real-estate relationships that could reasonably relate to matters before the Action Fund. Nondisclosure is itself a governance violation.</w:t>
      </w:r>
    </w:p>
    <w:p>
      <w:pPr>
        <w:pStyle w:val="Heading2"/>
        <w:keepNext/>
      </w:pPr>
      <w:r>
        <w:t>Required conduct</w:t>
      </w:r>
    </w:p>
    <w:p>
      <w:pPr>
        <w:pStyle w:val="ListBullet"/>
      </w:pPr>
      <w:r>
        <w:t>Place the mission and community welfare above personal advantage.</w:t>
      </w:r>
    </w:p>
    <w:p>
      <w:pPr>
        <w:pStyle w:val="ListBullet"/>
      </w:pPr>
      <w:r>
        <w:t>Disclose actual, potential and apparent conflicts before discussion or action.</w:t>
      </w:r>
    </w:p>
    <w:p>
      <w:pPr>
        <w:pStyle w:val="ListBullet"/>
      </w:pPr>
      <w:r>
        <w:t>Do not use confidential information, membership data, public-records research or organizational opportunities for private benefit.</w:t>
      </w:r>
    </w:p>
    <w:p>
      <w:pPr>
        <w:pStyle w:val="ListBullet"/>
      </w:pPr>
      <w:r>
        <w:t>Do not accept gifts, services or favors intended to influence organizational action.</w:t>
      </w:r>
    </w:p>
    <w:p>
      <w:pPr>
        <w:pStyle w:val="ListBullet"/>
      </w:pPr>
      <w:r>
        <w:t>Do not retaliate against a member, volunteer, whistleblower, critic or records requester.</w:t>
      </w:r>
    </w:p>
    <w:p>
      <w:pPr>
        <w:pStyle w:val="ListBullet"/>
      </w:pPr>
      <w:r>
        <w:t>Correct material factual errors promptly and visibly.</w:t>
      </w:r>
    </w:p>
    <w:p>
      <w:pPr>
        <w:pStyle w:val="ListBullet"/>
      </w:pPr>
      <w:r>
        <w:t>Treat residents, public officials, applicants, developers and critics with dignity while preserving vigorous advocacy.</w:t>
      </w:r>
    </w:p>
    <w:p>
      <w:pPr>
        <w:pStyle w:val="ListBullet"/>
      </w:pPr>
      <w:r>
        <w:t>Treat transactions with the Foundation as related-party matters requiring separate documentation and fair allocation.</w:t>
      </w:r>
    </w:p>
    <w:p>
      <w:pPr>
        <w:pStyle w:val="Heading2"/>
        <w:keepNext/>
      </w:pPr>
      <w:r>
        <w:t>Recusal procedure</w:t>
      </w:r>
    </w:p>
    <w:p>
      <w:r>
        <w:t>The interested person shall disclose the relationship, answer factual questions if requested, leave the discussion and vote unless disinterested directors determine otherwise for a compelling reason, and not attempt to influence the decision outside the meeting. Minutes shall record disclosure, absence and vote without unnecessary private details.</w:t>
      </w:r>
    </w:p>
    <w:p>
      <w:pPr>
        <w:pStyle w:val="Heading2"/>
        <w:keepNext/>
      </w:pPr>
      <w:r>
        <w:t>Related-party transactions</w:t>
      </w:r>
    </w:p>
    <w:p>
      <w:r>
        <w:t>A transaction involving an insider or affiliated entity requires advance disclosure, documentation of alternatives, a finding by disinterested directors that terms are fair and in the Corporation's best interests, and a recorded vote. Competitive quotations should be obtained when practical.</w:t>
      </w:r>
    </w:p>
    <w:p>
      <w:pPr>
        <w:pStyle w:val="Heading2"/>
        <w:keepNext/>
      </w:pPr>
      <w:r>
        <w:t>Leadership pledge</w:t>
      </w:r>
    </w:p>
    <w:p>
      <w:r>
        <w:t>I will place the mission and community above personal interests; disclose conflicts; protect private information; follow the bylaws even when inconvenient; welcome good-faith disagreement; correct mistakes; and conduct the work of Woodhaven Unites openly, fairly and with respect.</w:t>
      </w:r>
    </w:p>
    <w:p>
      <w:pPr>
        <w:pStyle w:val="Heading1"/>
        <w:keepNext/>
      </w:pPr>
      <w:r>
        <w:t>6. Transparency and Records Policy</w:t>
      </w:r>
    </w:p>
    <w:p>
      <w:pPr>
        <w:pStyle w:val="Heading2"/>
        <w:keepNext/>
      </w:pPr>
      <w:r>
        <w:t>Records published routinely</w:t>
      </w:r>
    </w:p>
    <w:p>
      <w:pPr>
        <w:pStyle w:val="ListBullet"/>
      </w:pPr>
      <w:r>
        <w:t>Certificate of Formation, bylaws, policies and amendments.</w:t>
      </w:r>
    </w:p>
    <w:p>
      <w:pPr>
        <w:pStyle w:val="ListBullet"/>
      </w:pPr>
      <w:r>
        <w:t>Meeting calendar, notices, agendas, draft minutes and approved minutes.</w:t>
      </w:r>
    </w:p>
    <w:p>
      <w:pPr>
        <w:pStyle w:val="ListBullet"/>
      </w:pPr>
      <w:r>
        <w:t>Board resolutions and official position statements.</w:t>
      </w:r>
    </w:p>
    <w:p>
      <w:pPr>
        <w:pStyle w:val="ListBullet"/>
      </w:pPr>
      <w:r>
        <w:t>Annual budget, quarterly financial reports, annual financial statements and required IRS filings.</w:t>
      </w:r>
    </w:p>
    <w:p>
      <w:pPr>
        <w:pStyle w:val="ListBullet"/>
      </w:pPr>
      <w:r>
        <w:t>Names and terms of directors and officers.</w:t>
      </w:r>
    </w:p>
    <w:p>
      <w:pPr>
        <w:pStyle w:val="ListBullet"/>
      </w:pPr>
      <w:r>
        <w:t>Annual conflict-of-interest compliance statement and disclosures relevant to official action, with private information redacted.</w:t>
      </w:r>
    </w:p>
    <w:p>
      <w:pPr>
        <w:pStyle w:val="ListBullet"/>
      </w:pPr>
      <w:r>
        <w:t>Election rules, candidate statements, voter-eligibility deadlines, certified totals and challenge decisions.</w:t>
      </w:r>
    </w:p>
    <w:p>
      <w:pPr>
        <w:pStyle w:val="ListBullet"/>
      </w:pPr>
      <w:r>
        <w:t>Substantive research reports, public-records indexes and primary documents relied on for official advocacy when lawful to publish.</w:t>
      </w:r>
    </w:p>
    <w:p>
      <w:pPr>
        <w:pStyle w:val="ListBullet"/>
      </w:pPr>
      <w:r>
        <w:t>The current Affiliation and Shared Services Agreement with the Foundation, with protected information redacted.</w:t>
      </w:r>
    </w:p>
    <w:p>
      <w:pPr>
        <w:pStyle w:val="Heading2"/>
        <w:keepNext/>
      </w:pPr>
      <w:r>
        <w:t>Records not published publicly</w:t>
      </w:r>
    </w:p>
    <w:p>
      <w:pPr>
        <w:pStyle w:val="ListBullet"/>
      </w:pPr>
      <w:r>
        <w:t>Member home addresses, private email addresses, telephone numbers and dates of birth.</w:t>
      </w:r>
    </w:p>
    <w:p>
      <w:pPr>
        <w:pStyle w:val="ListBullet"/>
      </w:pPr>
      <w:r>
        <w:t>Individual ballot choices or authentication credentials.</w:t>
      </w:r>
    </w:p>
    <w:p>
      <w:pPr>
        <w:pStyle w:val="ListBullet"/>
      </w:pPr>
      <w:r>
        <w:t>Bank account and payment-card numbers.</w:t>
      </w:r>
    </w:p>
    <w:p>
      <w:pPr>
        <w:pStyle w:val="ListBullet"/>
      </w:pPr>
      <w:r>
        <w:t>Attorney-client privileged communications and attorney work product.</w:t>
      </w:r>
    </w:p>
    <w:p>
      <w:pPr>
        <w:pStyle w:val="ListBullet"/>
      </w:pPr>
      <w:r>
        <w:t>Sensitive personnel, whistleblower, security and litigation information.</w:t>
      </w:r>
    </w:p>
    <w:p>
      <w:pPr>
        <w:pStyle w:val="ListBullet"/>
      </w:pPr>
      <w:r>
        <w:t>Copyrighted or legally restricted material the Corporation lacks authority to republish.</w:t>
      </w:r>
    </w:p>
    <w:p>
      <w:pPr>
        <w:pStyle w:val="Heading2"/>
        <w:keepNext/>
      </w:pPr>
      <w:r>
        <w:t>Member inspection requests</w:t>
      </w:r>
    </w:p>
    <w:p>
      <w:r>
        <w:t>A member may request a nonconfidential record by identifying it with reasonable specificity and stating a proper organizational purpose when required by law. The Secretary should acknowledge within five business days and provide the record, a reasonable production date or a written explanation.</w:t>
      </w:r>
    </w:p>
    <w:p>
      <w:pPr>
        <w:pStyle w:val="Heading2"/>
        <w:keepNext/>
      </w:pPr>
      <w:r>
        <w:t>Document integrity</w:t>
      </w:r>
    </w:p>
    <w:p>
      <w:r>
        <w:t>Published records shall identify draft status, approval date, corrections, redactions and source. Documents shall not be selectively edited in a manner that materially changes meaning. Superseded versions shall be retained when needed to understand the record.</w:t>
      </w:r>
    </w:p>
    <w:p>
      <w:pPr>
        <w:pStyle w:val="Heading2"/>
        <w:keepNext/>
      </w:pPr>
      <w:r>
        <w:t>Retention</w:t>
      </w:r>
    </w:p>
    <w:p>
      <w:pPr>
        <w:pStyle w:val="ListBullet"/>
      </w:pPr>
      <w:r>
        <w:t>Permanent: certificate, bylaws and amendments, Board/member minutes and resolutions, IRS determination/acknowledgment documents, major contracts, tax filings and final audited/reviewed financial statements.</w:t>
      </w:r>
    </w:p>
    <w:p>
      <w:pPr>
        <w:pStyle w:val="ListBullet"/>
      </w:pPr>
      <w:r>
        <w:t>At least seven years: bank records, invoices, receipts, grant/contract records, reimbursements and routine financial support.</w:t>
      </w:r>
    </w:p>
    <w:p>
      <w:pPr>
        <w:pStyle w:val="ListBullet"/>
      </w:pPr>
      <w:r>
        <w:t>Election records: at least two complete election cycles, longer if challenged or required by law.</w:t>
      </w:r>
    </w:p>
    <w:p>
      <w:pPr>
        <w:pStyle w:val="ListBullet"/>
      </w:pPr>
      <w:r>
        <w:t>Membership verification data: only as long as reasonably necessary, with access limited.</w:t>
      </w:r>
    </w:p>
    <w:p>
      <w:pPr>
        <w:pStyle w:val="Heading1"/>
        <w:keepNext/>
      </w:pPr>
      <w:r>
        <w:t>7. Financial Controls Policy</w:t>
      </w:r>
    </w:p>
    <w:p>
      <w:pPr>
        <w:pStyle w:val="ListBullet"/>
      </w:pPr>
      <w:r>
        <w:t>Banking: all accounts use the Action Fund's legal name and EIN. At least two unrelated officers shall have view access.</w:t>
      </w:r>
    </w:p>
    <w:p>
      <w:pPr>
        <w:pStyle w:val="ListBullet"/>
      </w:pPr>
      <w:r>
        <w:t>Approvals: no person may approve a payment to themselves. Two approvals are required for payments above $500 or another threshold adopted in the annual budget.</w:t>
      </w:r>
    </w:p>
    <w:p>
      <w:pPr>
        <w:pStyle w:val="ListBullet"/>
      </w:pPr>
      <w:r>
        <w:t>Documentation: every payment requires an invoice, receipt, contract or written explanation.</w:t>
      </w:r>
    </w:p>
    <w:p>
      <w:pPr>
        <w:pStyle w:val="ListBullet"/>
      </w:pPr>
      <w:r>
        <w:t>Reimbursement: requests must be submitted within 60 days and identify the organizational purpose.</w:t>
      </w:r>
    </w:p>
    <w:p>
      <w:pPr>
        <w:pStyle w:val="ListBullet"/>
      </w:pPr>
      <w:r>
        <w:t>Cash: cash receipts must be counted by two people when practical and deposited promptly.</w:t>
      </w:r>
    </w:p>
    <w:p>
      <w:pPr>
        <w:pStyle w:val="ListBullet"/>
      </w:pPr>
      <w:r>
        <w:t>Contracts: contracts above $2,500 should receive at least two competitive quotations when practical and require Board approval.</w:t>
      </w:r>
    </w:p>
    <w:p>
      <w:pPr>
        <w:pStyle w:val="ListBullet"/>
      </w:pPr>
      <w:r>
        <w:t>Credit/debit cards: cards may not be used for personal expenses, cash advances or undocumented purchases.</w:t>
      </w:r>
    </w:p>
    <w:p>
      <w:pPr>
        <w:pStyle w:val="ListBullet"/>
      </w:pPr>
      <w:r>
        <w:t>Reporting: Treasurer reconciles accounts monthly and provides transaction-level reports to the Board, with public reports redacted for privacy.</w:t>
      </w:r>
    </w:p>
    <w:p>
      <w:pPr>
        <w:pStyle w:val="ListBullet"/>
      </w:pPr>
      <w:r>
        <w:t>Whistleblower protection: good-faith reports of financial irregularity shall be investigated without retaliation.</w:t>
      </w:r>
    </w:p>
    <w:p>
      <w:pPr>
        <w:pStyle w:val="ListBullet"/>
      </w:pPr>
      <w:r>
        <w:t>Entity separation: Foundation funds, restricted charitable donations and grant proceeds may not be deposited into or spent from Action Fund accounts.</w:t>
      </w:r>
    </w:p>
    <w:p>
      <w:pPr>
        <w:pStyle w:val="ListBullet"/>
      </w:pPr>
      <w:r>
        <w:t>Shared costs: payments to or from the Foundation require an invoice, written allocation methodology and approval consistent with the Affiliation Agreement.</w:t>
      </w:r>
    </w:p>
    <w:p>
      <w:pPr>
        <w:pStyle w:val="Heading1"/>
        <w:keepNext/>
      </w:pPr>
      <w:r>
        <w:t>8. Resident Forum and Publication Policy</w:t>
      </w:r>
    </w:p>
    <w:p>
      <w:r>
        <w:t>The Action Fund maintains a public resident forum so people can speak openly rather than through selective private message networks. The forum creates a visible record of questions, experiences, corrections, disagreement and community proposals.</w:t>
      </w:r>
    </w:p>
    <w:p>
      <w:pPr>
        <w:pStyle w:val="Heading2"/>
        <w:keepNext/>
      </w:pPr>
      <w:r>
        <w:t>Publication commitment</w:t>
      </w:r>
    </w:p>
    <w:p>
      <w:pPr>
        <w:pStyle w:val="ListBullet"/>
      </w:pPr>
      <w:r>
        <w:t>Membership is not required to submit a viewpoint.</w:t>
      </w:r>
    </w:p>
    <w:p>
      <w:pPr>
        <w:pStyle w:val="ListBullet"/>
      </w:pPr>
      <w:r>
        <w:t>Good-faith submissions meeting published standards will be considered even when Woodhaven Unites disagrees.</w:t>
      </w:r>
    </w:p>
    <w:p>
      <w:pPr>
        <w:pStyle w:val="ListBullet"/>
      </w:pPr>
      <w:r>
        <w:t>Publication does not mean endorsement.</w:t>
      </w:r>
    </w:p>
    <w:p>
      <w:pPr>
        <w:pStyle w:val="ListBullet"/>
      </w:pPr>
      <w:r>
        <w:t>Official Action Fund positions will be clearly distinguished from resident submissions and Foundation educational content.</w:t>
      </w:r>
    </w:p>
    <w:p>
      <w:pPr>
        <w:pStyle w:val="Heading2"/>
        <w:keepNext/>
      </w:pPr>
      <w:r>
        <w:t>Verification and privacy</w:t>
      </w:r>
    </w:p>
    <w:p>
      <w:pPr>
        <w:pStyle w:val="ListBullet"/>
      </w:pPr>
      <w:r>
        <w:t>A submitter must provide reliable private contact information so identity and relationship to Woodhaven can be reasonably verified.</w:t>
      </w:r>
    </w:p>
    <w:p>
      <w:pPr>
        <w:pStyle w:val="ListBullet"/>
      </w:pPr>
      <w:r>
        <w:t>A submitter may use a public display name or request limited-name publication for a legitimate privacy concern.</w:t>
      </w:r>
    </w:p>
    <w:p>
      <w:pPr>
        <w:pStyle w:val="ListBullet"/>
      </w:pPr>
      <w:r>
        <w:t>Home addresses, apartment numbers, private email addresses, phone numbers, dates of birth and unnecessary personal data will not be published.</w:t>
      </w:r>
    </w:p>
    <w:p>
      <w:pPr>
        <w:pStyle w:val="ListBullet"/>
      </w:pPr>
      <w:r>
        <w:t>Submissions may be identified by general relationship to Woodhaven without exact address.</w:t>
      </w:r>
    </w:p>
    <w:p>
      <w:pPr>
        <w:pStyle w:val="Heading2"/>
        <w:keepNext/>
      </w:pPr>
      <w:r>
        <w:t>Minimum publication standards</w:t>
      </w:r>
    </w:p>
    <w:p>
      <w:pPr>
        <w:pStyle w:val="ListBullet"/>
      </w:pPr>
      <w:r>
        <w:t>Submissions must relate to Woodhaven, a decision affecting Woodhaven or the conduct of an organization/public body claiming to act for Woodhaven.</w:t>
      </w:r>
    </w:p>
    <w:p>
      <w:pPr>
        <w:pStyle w:val="ListBullet"/>
      </w:pPr>
      <w:r>
        <w:t>Opinion and personal experience are welcome, but factual claims should be accurate and supported when reasonably possible.</w:t>
      </w:r>
    </w:p>
    <w:p>
      <w:pPr>
        <w:pStyle w:val="ListBullet"/>
      </w:pPr>
      <w:r>
        <w:t>No threats, harassment, discriminatory abuse, doxxing, impersonation, spam, unlawful content or private information about another person.</w:t>
      </w:r>
    </w:p>
    <w:p>
      <w:pPr>
        <w:pStyle w:val="ListBullet"/>
      </w:pPr>
      <w:r>
        <w:t>Accusations of crime, fraud, corruption, professional misconduct or ethical violations must identify a reliable factual basis.</w:t>
      </w:r>
    </w:p>
    <w:p>
      <w:pPr>
        <w:pStyle w:val="ListBullet"/>
      </w:pPr>
      <w:r>
        <w:t>Criticism of officials, developers, organizations, officers or Woodhaven Unites itself is permitted; disagreement is not a basis for rejection.</w:t>
      </w:r>
    </w:p>
    <w:p>
      <w:pPr>
        <w:pStyle w:val="Heading2"/>
        <w:keepNext/>
      </w:pPr>
      <w:r>
        <w:t>Editing, corrections and responses</w:t>
      </w:r>
    </w:p>
    <w:p>
      <w:pPr>
        <w:pStyle w:val="ListBullet"/>
      </w:pPr>
      <w:r>
        <w:t>Obvious typographical errors and private information may be corrected/removed; source links may be added; repetitive material may be shortened without changing meaning.</w:t>
      </w:r>
    </w:p>
    <w:p>
      <w:pPr>
        <w:pStyle w:val="ListBullet"/>
      </w:pPr>
      <w:r>
        <w:t>Material edits will be returned to the author for approval.</w:t>
      </w:r>
    </w:p>
    <w:p>
      <w:pPr>
        <w:pStyle w:val="ListBullet"/>
      </w:pPr>
      <w:r>
        <w:t>Disputed factual claims may receive a neutral editor note, documentation request or reasonable opportunity for response.</w:t>
      </w:r>
    </w:p>
    <w:p>
      <w:pPr>
        <w:pStyle w:val="ListBullet"/>
      </w:pPr>
      <w:r>
        <w:t>Publication date and substantive corrections will be shown.</w:t>
      </w:r>
    </w:p>
    <w:p>
      <w:pPr>
        <w:pStyle w:val="ListBullet"/>
      </w:pPr>
      <w:r>
        <w:t>Woodhaven Unites will correct its own material errors promptly and visibly.</w:t>
      </w:r>
    </w:p>
    <w:p>
      <w:pPr>
        <w:pStyle w:val="ListBullet"/>
      </w:pPr>
      <w:r>
        <w:t>Moderation decisions are based on policy, not popularity or viewpoint.</w:t>
      </w:r>
    </w:p>
    <w:p>
      <w:pPr>
        <w:pStyle w:val="Heading1"/>
        <w:keepNext/>
      </w:pPr>
      <w:r>
        <w:t>9. Action of Organizer</w:t>
      </w:r>
    </w:p>
    <w:p>
      <w:r>
        <w:t>ACTION OF ORGANIZER OF WOODHAVEN UNITES ACTION FUND, INC.</w:t>
      </w:r>
    </w:p>
    <w:p>
      <w:r>
        <w:t>The undersigned, acting as organizer, adopts the following actions effective upon acceptance of the Certificate of Formation:</w:t>
      </w:r>
    </w:p>
    <w:p>
      <w:pPr>
        <w:pStyle w:val="ListNumber"/>
      </w:pPr>
      <w:r>
        <w:t>The persons listed below are appointed as initial directors until successors are elected and qualified.</w:t>
      </w:r>
    </w:p>
    <w:p>
      <w:pPr>
        <w:pStyle w:val="ListNumber"/>
      </w:pPr>
      <w:r>
        <w:t>The organizer delivers the Certificate of Formation, this action and organizational records to the initial Board.</w:t>
      </w:r>
    </w:p>
    <w:p>
      <w:pPr>
        <w:pStyle w:val="ListNumber"/>
      </w:pPr>
      <w:r>
        <w:t>The organizer is authorized to take reasonable actions necessary to complete filing and organization.</w:t>
      </w:r>
    </w:p>
    <w:p>
      <w:pPr>
        <w:pStyle w:val="ListNumber"/>
      </w:pPr>
      <w:r>
        <w:t>The organizer's authority ends when the initial Board accepts the corporate records, except for ministerial filing corrections.</w:t>
      </w:r>
    </w:p>
    <w:p>
      <w:r>
        <w:t>[DIRECTOR 1 NAME AND ADDRESS]</w:t>
      </w:r>
    </w:p>
    <w:p>
      <w:r>
        <w:t>[DIRECTOR 2 NAME AND ADDRESS]</w:t>
      </w:r>
    </w:p>
    <w:p>
      <w:r>
        <w:t>[DIRECTOR 3 NAME AND ADDRESS]</w:t>
      </w:r>
    </w:p>
    <w:p>
      <w:r>
        <w:t>[DIRECTOR 4 NAME AND ADDRESS]</w:t>
      </w:r>
    </w:p>
    <w:p>
      <w:r>
        <w:t>[DIRECTOR 5 NAME AND ADDRESS]</w:t>
      </w:r>
    </w:p>
    <w:p>
      <w:pPr>
        <w:spacing w:after="0" w:before="0" w:line="168" w:lineRule="auto"/>
      </w:pPr>
    </w:p>
    <w:p>
      <w:pPr>
        <w:spacing w:after="0"/>
        <w:keepNext/>
      </w:pPr>
      <w:r>
        <w:t>____________________________________________</w:t>
      </w:r>
    </w:p>
    <w:p>
      <w:pPr>
        <w:pStyle w:val="SmallNote"/>
        <w:keepNext/>
      </w:pPr>
      <w:r>
        <w:t>Erika Graham, Organizer</w:t>
      </w:r>
    </w:p>
    <w:p>
      <w:pPr>
        <w:pStyle w:val="SmallNote"/>
        <w:keepNext/>
      </w:pPr>
      <w:r>
        <w:t>Date: ____________________</w:t>
      </w:r>
    </w:p>
    <w:p>
      <w:pPr>
        <w:pStyle w:val="Heading1"/>
        <w:keepNext/>
      </w:pPr>
      <w:r>
        <w:t>10. Initial Board Action by Unanimous Written Consent</w:t>
      </w:r>
    </w:p>
    <w:p>
      <w:pPr>
        <w:pStyle w:val="ListBullet"/>
      </w:pPr>
      <w:r>
        <w:t>Accept the filed Certificate of Formation and organizer's action.</w:t>
      </w:r>
    </w:p>
    <w:p>
      <w:pPr>
        <w:pStyle w:val="ListBullet"/>
      </w:pPr>
      <w:r>
        <w:t>Adopt the Founding Charter and Bylaws, Residents' Bill of Rights, Election Code, Conflict of Interest and Code of Ethics, Transparency and Records Policy, Financial Controls Policy, and Resident Forum and Publication Policy.</w:t>
      </w:r>
    </w:p>
    <w:p>
      <w:pPr>
        <w:pStyle w:val="ListBullet"/>
      </w:pPr>
      <w:r>
        <w:t>Elect President [NAME], Vice President [NAME], Secretary [NAME] and Treasurer [NAME].</w:t>
      </w:r>
    </w:p>
    <w:p>
      <w:pPr>
        <w:pStyle w:val="ListBullet"/>
      </w:pPr>
      <w:r>
        <w:t>Authorize an officer to obtain an EIN.</w:t>
      </w:r>
    </w:p>
    <w:p>
      <w:pPr>
        <w:pStyle w:val="ListBullet"/>
      </w:pPr>
      <w:r>
        <w:t>Authorize timely electronic submission of Form 8976 if required and professional review of whether to file Form 1024-A.</w:t>
      </w:r>
    </w:p>
    <w:p>
      <w:pPr>
        <w:pStyle w:val="ListBullet"/>
      </w:pPr>
      <w:r>
        <w:t>Authorize separate Action Fund bank and bookkeeping accounts.</w:t>
      </w:r>
    </w:p>
    <w:p>
      <w:pPr>
        <w:pStyle w:val="ListBullet"/>
      </w:pPr>
      <w:r>
        <w:t>Authorize execution of the Affiliation and Shared Services Agreement with Woodhaven Unites Foundation, Inc., subject to disinterested review.</w:t>
      </w:r>
    </w:p>
    <w:p>
      <w:pPr>
        <w:pStyle w:val="ListBullet"/>
      </w:pPr>
      <w:r>
        <w:t>Adopt January 1 through December 31 as fiscal year.</w:t>
      </w:r>
    </w:p>
    <w:p>
      <w:pPr>
        <w:pStyle w:val="ListBullet"/>
      </w:pPr>
      <w:r>
        <w:t>Authorize reasonable documented formation expenses up to [AMOUNT].</w:t>
      </w:r>
    </w:p>
    <w:p>
      <w:pPr>
        <w:pStyle w:val="ListBullet"/>
      </w:pPr>
      <w:r>
        <w:t>Authorize Fort Worth community-organization registration without representing Woodhaven Unites as the exclusive neighborhood association.</w:t>
      </w:r>
    </w:p>
    <w:p>
      <w:pPr>
        <w:pStyle w:val="ListBullet"/>
      </w:pPr>
      <w:r>
        <w:t>Authorize launch of public membership after adoption of a privacy notice and verification procedure.</w:t>
      </w:r>
    </w:p>
    <w:p>
      <w:pPr>
        <w:pStyle w:val="ListBullet"/>
      </w:pPr>
      <w:r>
        <w:t>Obtain quotations for general liability and directors-and-officers insurance.</w:t>
      </w:r>
    </w:p>
    <w:p>
      <w:pPr>
        <w:spacing w:after="0" w:before="0" w:line="168" w:lineRule="auto"/>
      </w:pPr>
    </w:p>
    <w:p>
      <w:pPr>
        <w:spacing w:after="0"/>
        <w:keepNext/>
      </w:pPr>
      <w:r>
        <w:t>____________________________________________</w:t>
      </w:r>
    </w:p>
    <w:p>
      <w:pPr>
        <w:pStyle w:val="SmallNote"/>
        <w:keepNext/>
      </w:pPr>
      <w:r>
        <w:t>Director 1</w:t>
      </w:r>
    </w:p>
    <w:p>
      <w:pPr>
        <w:pStyle w:val="SmallNote"/>
        <w:keepNext/>
      </w:pPr>
      <w:r>
        <w:t>Date: ____________________</w:t>
      </w:r>
    </w:p>
    <w:p>
      <w:pPr>
        <w:spacing w:after="0" w:before="0" w:line="168" w:lineRule="auto"/>
      </w:pPr>
    </w:p>
    <w:p>
      <w:pPr>
        <w:spacing w:after="0"/>
        <w:keepNext/>
      </w:pPr>
      <w:r>
        <w:t>____________________________________________</w:t>
      </w:r>
    </w:p>
    <w:p>
      <w:pPr>
        <w:pStyle w:val="SmallNote"/>
        <w:keepNext/>
      </w:pPr>
      <w:r>
        <w:t>Director 2</w:t>
      </w:r>
    </w:p>
    <w:p>
      <w:pPr>
        <w:pStyle w:val="SmallNote"/>
        <w:keepNext/>
      </w:pPr>
      <w:r>
        <w:t>Date: ____________________</w:t>
      </w:r>
    </w:p>
    <w:p>
      <w:pPr>
        <w:spacing w:after="0" w:before="0" w:line="168" w:lineRule="auto"/>
      </w:pPr>
    </w:p>
    <w:p>
      <w:pPr>
        <w:spacing w:after="0"/>
        <w:keepNext/>
      </w:pPr>
      <w:r>
        <w:t>____________________________________________</w:t>
      </w:r>
    </w:p>
    <w:p>
      <w:pPr>
        <w:pStyle w:val="SmallNote"/>
        <w:keepNext/>
      </w:pPr>
      <w:r>
        <w:t>Director 3</w:t>
      </w:r>
    </w:p>
    <w:p>
      <w:pPr>
        <w:pStyle w:val="SmallNote"/>
        <w:keepNext/>
      </w:pPr>
      <w:r>
        <w:t>Date: ____________________</w:t>
      </w:r>
    </w:p>
    <w:p>
      <w:pPr>
        <w:spacing w:after="0" w:before="0" w:line="168" w:lineRule="auto"/>
      </w:pPr>
    </w:p>
    <w:p>
      <w:pPr>
        <w:spacing w:after="0"/>
        <w:keepNext/>
      </w:pPr>
      <w:r>
        <w:t>____________________________________________</w:t>
      </w:r>
    </w:p>
    <w:p>
      <w:pPr>
        <w:pStyle w:val="SmallNote"/>
        <w:keepNext/>
      </w:pPr>
      <w:r>
        <w:t>Director 4</w:t>
      </w:r>
    </w:p>
    <w:p>
      <w:pPr>
        <w:pStyle w:val="SmallNote"/>
        <w:keepNext/>
      </w:pPr>
      <w:r>
        <w:t>Date: ____________________</w:t>
      </w:r>
    </w:p>
    <w:p>
      <w:pPr>
        <w:spacing w:after="0" w:before="0" w:line="168" w:lineRule="auto"/>
      </w:pPr>
    </w:p>
    <w:p>
      <w:pPr>
        <w:spacing w:after="0"/>
        <w:keepNext/>
      </w:pPr>
      <w:r>
        <w:t>____________________________________________</w:t>
      </w:r>
    </w:p>
    <w:p>
      <w:pPr>
        <w:pStyle w:val="SmallNote"/>
        <w:keepNext/>
      </w:pPr>
      <w:r>
        <w:t>Director 5</w:t>
      </w:r>
    </w:p>
    <w:p>
      <w:pPr>
        <w:pStyle w:val="SmallNote"/>
        <w:keepNext/>
      </w:pPr>
      <w:r>
        <w:t>Date: ____________________</w:t>
      </w:r>
    </w:p>
    <w:p>
      <w:pPr>
        <w:pStyle w:val="Heading1"/>
        <w:keepNext/>
      </w:pPr>
      <w:r>
        <w:t>11. Filing and Compliance Checklist</w:t>
      </w:r>
    </w:p>
    <w:p>
      <w:pPr>
        <w:pStyle w:val="ListBullet"/>
      </w:pPr>
      <w:r>
        <w:t>Confirm whether Woodhaven Unites, Inc. has already been filed. If yes, determine rename/amendment/assumed-name path before using this Certificate.</w:t>
      </w:r>
    </w:p>
    <w:p>
      <w:pPr>
        <w:pStyle w:val="ListBullet"/>
      </w:pPr>
      <w:r>
        <w:t>Confirm proposed legal name availability with the Texas Secretary of State.</w:t>
      </w:r>
    </w:p>
    <w:p>
      <w:pPr>
        <w:pStyle w:val="ListBullet"/>
      </w:pPr>
      <w:r>
        <w:t>Confirm at least three initial directors and addresses.</w:t>
      </w:r>
    </w:p>
    <w:p>
      <w:pPr>
        <w:pStyle w:val="ListBullet"/>
      </w:pPr>
      <w:r>
        <w:t>Retain registered-agent written consent.</w:t>
      </w:r>
    </w:p>
    <w:p>
      <w:pPr>
        <w:pStyle w:val="ListBullet"/>
      </w:pPr>
      <w:r>
        <w:t>File Texas Form 202; current filing fee is $25.</w:t>
      </w:r>
    </w:p>
    <w:p>
      <w:pPr>
        <w:pStyle w:val="ListBullet"/>
      </w:pPr>
      <w:r>
        <w:t>Obtain EIN.</w:t>
      </w:r>
    </w:p>
    <w:p>
      <w:pPr>
        <w:pStyle w:val="ListBullet"/>
      </w:pPr>
      <w:r>
        <w:t>Submit Form 8976 within the applicable deadline if the entity is newly formed and required to file; current IRS fee is $50.</w:t>
      </w:r>
    </w:p>
    <w:p>
      <w:pPr>
        <w:pStyle w:val="ListBullet"/>
      </w:pPr>
      <w:r>
        <w:t>Consider Form 1024-A after counsel review if a formal IRS determination letter is desired.</w:t>
      </w:r>
    </w:p>
    <w:p>
      <w:pPr>
        <w:pStyle w:val="ListBullet"/>
      </w:pPr>
      <w:r>
        <w:t>Open separate bank account and bookkeeping.</w:t>
      </w:r>
    </w:p>
    <w:p>
      <w:pPr>
        <w:pStyle w:val="ListBullet"/>
      </w:pPr>
      <w:r>
        <w:t>Adopt policies and affiliation agreement by board consent.</w:t>
      </w:r>
    </w:p>
    <w:p>
      <w:pPr>
        <w:pStyle w:val="ListBullet"/>
      </w:pPr>
      <w:r>
        <w:t>Confirm annual Form 990-series filing obligation and Texas exemption filings.</w:t>
      </w:r>
    </w:p>
    <w:p>
      <w:pPr>
        <w:pStyle w:val="Heading1"/>
        <w:keepNext/>
      </w:pPr>
      <w:r>
        <w:t>Current Legal Reference Notes</w:t>
      </w:r>
    </w:p>
    <w:p>
      <w:r>
        <w:t>These drafting notes were checked against current official sources on August 12, 2026. They are included so counsel can quickly verify the assumptions used in this packet.</w:t>
      </w:r>
    </w:p>
    <w:p>
      <w:pPr>
        <w:pStyle w:val="Heading3"/>
        <w:keepNext/>
      </w:pPr>
      <w:r>
        <w:t>Texas nonprofit formation</w:t>
      </w:r>
    </w:p>
    <w:p>
      <w:r>
        <w:t>Texas Secretary of State Form 202 requires a nonprofit name, registered agent and registered office, management information, membership selection, purpose, initial mailing address, organizer and execution. A board-managed nonprofit requires at least three initial directors. Current filing fee: $25.</w:t>
      </w:r>
    </w:p>
    <w:p>
      <w:pPr>
        <w:pStyle w:val="Heading3"/>
        <w:keepNext/>
      </w:pPr>
      <w:r>
        <w:t>501(c)(3) organizing document</w:t>
      </w:r>
    </w:p>
    <w:p>
      <w:r>
        <w:t>IRS guidance requires the organizing document to limit purposes to Section 501(c)(3) exempt purposes and permanently dedicate assets to Section 501(c)(3) purposes or government upon dissolution.</w:t>
      </w:r>
    </w:p>
    <w:p>
      <w:pPr>
        <w:pStyle w:val="Heading3"/>
        <w:keepNext/>
      </w:pPr>
      <w:r>
        <w:t>501(c)(3) campaign activity</w:t>
      </w:r>
    </w:p>
    <w:p>
      <w:r>
        <w:t>Section 501(c)(3) organizations are prohibited from directly or indirectly participating or intervening in political campaigns for or against candidates for elective public office.</w:t>
      </w:r>
    </w:p>
    <w:p>
      <w:pPr>
        <w:pStyle w:val="Heading3"/>
        <w:keepNext/>
      </w:pPr>
      <w:r>
        <w:t>501(h) lobbying election</w:t>
      </w:r>
    </w:p>
    <w:p>
      <w:r>
        <w:t>Eligible public charities may elect the expenditure test by filing Form 5768. The election provides an expenditure-based method for measuring permissible lobbying.</w:t>
      </w:r>
    </w:p>
    <w:p>
      <w:pPr>
        <w:pStyle w:val="Heading3"/>
        <w:keepNext/>
      </w:pPr>
      <w:r>
        <w:t>501(c)(4) notice</w:t>
      </w:r>
    </w:p>
    <w:p>
      <w:r>
        <w:t>An organization intending to operate under Section 501(c)(4) generally must electronically submit Form 8976 within 60 days of formation. The IRS currently charges a $50 fee. Form 1024-A is optional for organizations seeking a formal recognition letter.</w:t>
      </w:r>
    </w:p>
    <w:p>
      <w:pPr>
        <w:pStyle w:val="Heading3"/>
        <w:keepNext/>
      </w:pPr>
      <w:r>
        <w:t>Texas state tax exemption</w:t>
      </w:r>
    </w:p>
    <w:p>
      <w:r>
        <w:t>Texas nonprofit incorporation does not itself create state tax exemption. After federal recognition, an organization seeking Texas sales/franchise tax exemption should use the applicable Comptroller exemption process and ensure the legal name matches the federal determination letter.</w:t>
      </w:r>
    </w:p>
    <w:p>
      <w:pPr>
        <w:pStyle w:val="SmallNote"/>
      </w:pPr>
      <w:r>
        <w:t>Primary official references: Texas Secretary of State, Form 202 and instructions; IRS guidance on required provisions for charitable organizing documents, Form 1023/1023-EZ, Form 5768, and Form 8976; Texas Comptroller exempt-organization guidance.</w:t>
      </w:r>
    </w:p>
    <w:sectPr w:rsidR="00FC693F" w:rsidRPr="0006063C" w:rsidSect="00034616">
      <w:headerReference w:type="default" r:id="rId9"/>
      <w:footerReference w:type="default" r:id="rId10"/>
      <w:pgSz w:w="12240" w:h="15840"/>
      <w:pgMar w:top="1037" w:right="1181" w:bottom="979"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Note"/>
      <w:jc w:val="right"/>
    </w:pPr>
    <w:r>
      <w:t xml:space="preserve">DRAFT — ATTORNEY REVIEW — NOT READY TO FILE  |  August 12, 2026     </w:t>
    </w:r>
    <w: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Note"/>
      <w:jc w:val="right"/>
    </w:pPr>
    <w:r>
      <w:t>Woodhaven Unites Action Fund — Draft Formation &amp; Governance Packet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47"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1F3A32"/>
      <w:sz w:val="34"/>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2B5147"/>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30473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F3A32"/>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5C6B66"/>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pPr>
    <w:rPr>
      <w:rFonts w:ascii="Aptos" w:hAnsi="Aptos"/>
      <w:color w:val="626262"/>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