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B5147"/>
          <w:sz w:val="28"/>
        </w:rPr>
        <w:t>WOODHAVEN UNITES</w:t>
      </w:r>
    </w:p>
    <w:p>
      <w:pPr>
        <w:jc w:val="center"/>
      </w:pPr>
      <w:r>
        <w:rPr>
          <w:b/>
          <w:color w:val="1F3A32"/>
          <w:sz w:val="52"/>
        </w:rPr>
        <w:t>AFFILIATION &amp; SHARED SERVICES AGREEMENT</w:t>
      </w:r>
    </w:p>
    <w:p>
      <w:pPr>
        <w:jc w:val="center"/>
      </w:pPr>
      <w:r>
        <w:rPr>
          <w:color w:val="52625D"/>
          <w:sz w:val="26"/>
        </w:rPr>
        <w:t>Woodhaven Unites Foundation, Inc. + Woodhaven Unites Action Fund, Inc.</w:t>
      </w:r>
    </w:p>
    <w:p/>
    <w:tbl>
      <w:tblPr>
        <w:tblW w:type="auto" w:w="0"/>
        <w:jc w:val="center"/>
        <w:tblLook w:firstColumn="1" w:firstRow="1" w:lastColumn="0" w:lastRow="0" w:noHBand="0" w:noVBand="1" w:val="04A0"/>
      </w:tblPr>
      <w:tblGrid>
        <w:gridCol w:w="9878"/>
      </w:tblGrid>
      <w:tr>
        <w:tc>
          <w:tcPr>
            <w:tcW w:type="dxa" w:w="9878"/>
            <w:shd w:fill="EEF4F1"/>
            <w:tcMar>
              <w:top w:w="170" w:type="dxa"/>
              <w:start w:w="170" w:type="dxa"/>
              <w:bottom w:w="170" w:type="dxa"/>
              <w:end w:w="170" w:type="dxa"/>
            </w:tcMar>
          </w:tcPr>
          <w:p>
            <w:pPr>
              <w:jc w:val="center"/>
            </w:pPr>
            <w:r>
              <w:rPr>
                <w:b/>
                <w:sz w:val="21"/>
              </w:rPr>
              <w:t>DRAFT — ATTORNEY REVIEW — NOT READY TO FILE</w:t>
            </w:r>
          </w:p>
          <w:p>
            <w:pPr>
              <w:jc w:val="center"/>
            </w:pPr>
            <w:r>
              <w:t>Prepared for organizational planning and Texas nonprofit/tax counsel review before filing or adoption.</w:t>
            </w:r>
          </w:p>
          <w:p>
            <w:pPr>
              <w:jc w:val="center"/>
            </w:pPr>
            <w:r>
              <w:t>Designed to keep the two organizations legally, financially and programmatically separate while allowing coordinated branding and administration.</w:t>
            </w:r>
          </w:p>
        </w:tc>
      </w:tr>
    </w:tbl>
    <w:p/>
    <w:p>
      <w:pPr>
        <w:jc w:val="center"/>
      </w:pPr>
      <w:r>
        <w:rPr>
          <w:i/>
          <w:sz w:val="22"/>
        </w:rPr>
        <w:t>Independent. Transparent. Resident-Led.</w:t>
      </w:r>
    </w:p>
    <w:p/>
    <w:p>
      <w:pPr>
        <w:pStyle w:val="SmallNote"/>
        <w:jc w:val="center"/>
      </w:pPr>
      <w:r>
        <w:t>August 12, 2026</w:t>
      </w:r>
    </w:p>
    <w:p>
      <w:r>
        <w:br w:type="page"/>
      </w:r>
    </w:p>
    <w:p>
      <w:pPr>
        <w:pStyle w:val="Heading1"/>
        <w:keepNext/>
      </w:pPr>
      <w:r>
        <w:t>Draft Agreement</w:t>
      </w:r>
    </w:p>
    <w:p>
      <w:r>
        <w:t>This Affiliation and Shared Services Agreement (“Agreement”) is entered as of [EFFECTIVE DATE] by and between Woodhaven Unites Foundation, Inc. (“Foundation”), a Texas nonprofit corporation intended to qualify under Section 501(c)(3), and Woodhaven Unites Action Fund, Inc. (“Action Fund”), a Texas nonprofit corporation intended to operate under Section 501(c)(4).</w:t>
      </w:r>
    </w:p>
    <w:p>
      <w:pPr>
        <w:pStyle w:val="Heading2"/>
        <w:keepNext/>
      </w:pPr>
      <w:r>
        <w:t>1. Purpose</w:t>
      </w:r>
    </w:p>
    <w:p>
      <w:r>
        <w:t>The parties share a commitment to an informed, engaged and thriving Woodhaven community. This Agreement permits coordinated branding and efficient use of administrative resources while preserving separate legal identity, finances, tax compliance, fiduciary duties and program responsibility.</w:t>
      </w:r>
    </w:p>
    <w:p>
      <w:pPr>
        <w:pStyle w:val="Heading2"/>
        <w:keepNext/>
      </w:pPr>
      <w:r>
        <w:t>2. Separate legal entities</w:t>
      </w:r>
    </w:p>
    <w:p>
      <w:r>
        <w:t>Each party is a separate corporation with its own Board, EIN, bank accounts, books, tax filings, contracts, liabilities and fiduciary duties. Neither party is an agent, partner or joint venturer of the other merely because of affiliation.</w:t>
      </w:r>
    </w:p>
    <w:p>
      <w:pPr>
        <w:pStyle w:val="Heading2"/>
        <w:keepNext/>
      </w:pPr>
      <w:r>
        <w:t>3. Distinct exempt-purpose roles</w:t>
      </w:r>
    </w:p>
    <w:p>
      <w:r>
        <w:t>The Foundation conducts charitable and educational programs. The Action Fund conducts social-welfare advocacy, lobbying, organizing and member-governed civic action. Activities shall be assigned based on substance, not merely branding.</w:t>
      </w:r>
    </w:p>
    <w:p>
      <w:pPr>
        <w:pStyle w:val="Heading2"/>
        <w:keepNext/>
      </w:pPr>
      <w:r>
        <w:t>4. No charitable subsidy of advocacy</w:t>
      </w:r>
    </w:p>
    <w:p>
      <w:r>
        <w:t>Foundation funds, grant proceeds, donated goods, staff/contractor time, mailing capacity, website resources and other assets may not subsidize Action Fund lobbying, candidate activity or other non-charitable work. Shared use requires direct charging or reasonable documented allocation and payment.</w:t>
      </w:r>
    </w:p>
    <w:p>
      <w:pPr>
        <w:pStyle w:val="Heading2"/>
        <w:keepNext/>
      </w:pPr>
      <w:r>
        <w:t>5. Shared services</w:t>
      </w:r>
    </w:p>
    <w:p>
      <w:r>
        <w:t>The parties may share website hosting, domain administration, email systems, CRM/mailing software, printing, meeting space, accounting support, contractors, insurance administration, research tools and similar resources when documented under this Agreement.</w:t>
      </w:r>
    </w:p>
    <w:p>
      <w:pPr>
        <w:pStyle w:val="Heading2"/>
        <w:keepNext/>
      </w:pPr>
      <w:r>
        <w:t>6. Cost allocation</w:t>
      </w:r>
    </w:p>
    <w:p>
      <w:r>
        <w:t>Direct expenses shall be charged to the entity receiving the benefit. Common expenses shall be allocated using a reasonable, consistently applied methodology tied to actual use, such as staff time, page views/content volume, event attendance, license seats, transaction count or another documented measure. Allocation methods shall be reviewed at least annually.</w:t>
      </w:r>
    </w:p>
    <w:p>
      <w:pPr>
        <w:pStyle w:val="Heading2"/>
        <w:keepNext/>
      </w:pPr>
      <w:r>
        <w:t>7. Personnel and contractor time</w:t>
      </w:r>
    </w:p>
    <w:p>
      <w:r>
        <w:t>Any employee or contractor serving both entities shall maintain contemporaneous or reasonable periodic time records sufficient to allocate compensation and related costs. Time spent on Action Fund advocacy may not be charged to Foundation grants or restricted charitable funds.</w:t>
      </w:r>
    </w:p>
    <w:p>
      <w:pPr>
        <w:pStyle w:val="Heading2"/>
        <w:keepNext/>
      </w:pPr>
      <w:r>
        <w:t>8. Bank accounts and bookkeeping</w:t>
      </w:r>
    </w:p>
    <w:p>
      <w:r>
        <w:t>Each entity shall maintain separate bank accounts and ledgers. Transfers between entities must identify their legal basis: reimbursement, shared-cost settlement, grant, contract payment or return of an erroneous deposit. Commingling is prohibited.</w:t>
      </w:r>
    </w:p>
    <w:p>
      <w:pPr>
        <w:pStyle w:val="Heading2"/>
        <w:keepNext/>
      </w:pPr>
      <w:r>
        <w:t>9. Grants and restricted gifts</w:t>
      </w:r>
    </w:p>
    <w:p>
      <w:r>
        <w:t>Foundation grants and restricted charitable gifts remain subject to donor/funder restrictions. The Action Fund has no beneficial interest in those funds. The Foundation shall review grant terms for restrictions on lobbying, affiliated organizations, shared staffing, cost allocation, branding and data.</w:t>
      </w:r>
    </w:p>
    <w:p>
      <w:pPr>
        <w:pStyle w:val="Heading2"/>
        <w:keepNext/>
      </w:pPr>
      <w:r>
        <w:t>10. Contributions</w:t>
      </w:r>
    </w:p>
    <w:p>
      <w:r>
        <w:t>Donation forms shall clearly identify which entity receives the contribution. Foundation gifts shall not be automatically redirected to the Action Fund. Action Fund solicitation materials shall state that contributions are generally not deductible as charitable contributions.</w:t>
      </w:r>
    </w:p>
    <w:p>
      <w:pPr>
        <w:pStyle w:val="Heading2"/>
        <w:keepNext/>
      </w:pPr>
      <w:r>
        <w:t>11. Website and branding</w:t>
      </w:r>
    </w:p>
    <w:p>
      <w:r>
        <w:t>The entities may use the common public-facing name “Woodhaven Unites.” Each page, petition, donation form, advocacy alert, grant-funded program and material communication shall identify the responsible legal entity when the distinction matters. Advocacy calls-to-action shall be labeled as Action Fund communications; charitable program and grant materials shall identify the Foundation.</w:t>
      </w:r>
    </w:p>
    <w:p>
      <w:pPr>
        <w:pStyle w:val="Heading2"/>
        <w:keepNext/>
      </w:pPr>
      <w:r>
        <w:t>12. Intellectual property</w:t>
      </w:r>
    </w:p>
    <w:p>
      <w:r>
        <w:t>Each entity retains ownership of intellectual property it separately creates or owns. Existing common marks, domains, templates and content may be used by both under a nonexclusive license consistent with Board-approved brand standards. No transfer of ownership is implied; any future transfer must be separately documented.</w:t>
      </w:r>
    </w:p>
    <w:p>
      <w:pPr>
        <w:pStyle w:val="Heading2"/>
        <w:keepNext/>
      </w:pPr>
      <w:r>
        <w:t>13. Mailing lists and participant data</w:t>
      </w:r>
    </w:p>
    <w:p>
      <w:r>
        <w:t>Each entity may use shared contact infrastructure only under a common privacy notice and lawful purpose. Private eligibility, donor and survey data shall be access-controlled. The Foundation shall not provide grant-restricted data to the Action Fund unless permitted and appropriately allocated.</w:t>
      </w:r>
    </w:p>
    <w:p>
      <w:pPr>
        <w:pStyle w:val="Heading2"/>
        <w:keepNext/>
      </w:pPr>
      <w:r>
        <w:t>14. Research and source documents</w:t>
      </w:r>
    </w:p>
    <w:p>
      <w:r>
        <w:t>Public records and factual research may be shared where lawful. When the Foundation pays for research, the Action Fund may use publicly released results but shall not receive unreleased grant-funded work product or staff services without a lawful, documented arrangement.</w:t>
      </w:r>
    </w:p>
    <w:p>
      <w:pPr>
        <w:pStyle w:val="Heading2"/>
        <w:keepNext/>
      </w:pPr>
      <w:r>
        <w:t>15. Events</w:t>
      </w:r>
    </w:p>
    <w:p>
      <w:r>
        <w:t>Joint events must identify the sponsoring entities and allocate costs. Educational segments funded by the Foundation and lobbying/action segments paid by the Action Fund should be distinguishable in agenda, staffing and accounting.</w:t>
      </w:r>
    </w:p>
    <w:p>
      <w:pPr>
        <w:pStyle w:val="Heading2"/>
        <w:keepNext/>
      </w:pPr>
      <w:r>
        <w:t>16. Public positions</w:t>
      </w:r>
    </w:p>
    <w:p>
      <w:r>
        <w:t>The Foundation may publish nonpartisan educational analysis and limited lobbying within its approved rules. The Action Fund may take official advocacy positions. No Action Fund position shall be represented as a Foundation position without separate Foundation authorization consistent with Section 501(c)(3).</w:t>
      </w:r>
    </w:p>
    <w:p>
      <w:pPr>
        <w:pStyle w:val="Heading2"/>
        <w:keepNext/>
      </w:pPr>
      <w:r>
        <w:t>17. Candidate campaign activity</w:t>
      </w:r>
    </w:p>
    <w:p>
      <w:r>
        <w:t>The Foundation shall not engage in candidate campaign intervention. The Action Fund's current bylaws also prohibit candidate endorsements/contributions unless later amended after legal and tax review. Shared website or mailing infrastructure shall not cause Foundation resources to support candidate activity.</w:t>
      </w:r>
    </w:p>
    <w:p>
      <w:pPr>
        <w:pStyle w:val="Heading2"/>
        <w:keepNext/>
      </w:pPr>
      <w:r>
        <w:t>18. Conflicts and approvals</w:t>
      </w:r>
    </w:p>
    <w:p>
      <w:r>
        <w:t>Because the entities are affiliates and may share directors, officers or contractors, inter-entity transactions are related-party matters. Each Board shall document the transaction, allocation method, disinterested review and finding that the terms are fair and in that entity's best interests.</w:t>
      </w:r>
    </w:p>
    <w:p>
      <w:pPr>
        <w:pStyle w:val="Heading2"/>
        <w:keepNext/>
      </w:pPr>
      <w:r>
        <w:t>19. Records and audit trail</w:t>
      </w:r>
    </w:p>
    <w:p>
      <w:r>
        <w:t>Each party shall retain invoices, allocation worksheets, time records, grant restrictions, transfer records and approvals sufficient to reconstruct inter-entity transactions. The parties shall reconcile shared-cost balances at least quarterly.</w:t>
      </w:r>
    </w:p>
    <w:p>
      <w:pPr>
        <w:pStyle w:val="Heading2"/>
        <w:keepNext/>
      </w:pPr>
      <w:r>
        <w:t>20. Insurance and liability</w:t>
      </w:r>
    </w:p>
    <w:p>
      <w:r>
        <w:t>Each party is responsible for its own liabilities and should maintain insurance appropriate to its activities. Shared insurance may be purchased only if coverage, premiums and claims responsibilities are clearly allocated.</w:t>
      </w:r>
    </w:p>
    <w:p>
      <w:pPr>
        <w:pStyle w:val="Heading2"/>
        <w:keepNext/>
      </w:pPr>
      <w:r>
        <w:t>21. Term and termination</w:t>
      </w:r>
    </w:p>
    <w:p>
      <w:r>
        <w:t>This Agreement remains in effect until terminated by either Board on 30 days' written notice, subject to completion of outstanding reimbursements, grant obligations and data/property returns. Termination does not merge the entities or transfer assets.</w:t>
      </w:r>
    </w:p>
    <w:p>
      <w:pPr>
        <w:pStyle w:val="Heading2"/>
        <w:keepNext/>
      </w:pPr>
      <w:r>
        <w:t>22. Amendment</w:t>
      </w:r>
    </w:p>
    <w:p>
      <w:r>
        <w:t>Amendments require written approval of both Boards after conflict review. Material changes involving tax-sensitive activity should receive legal/tax review before adoption.</w:t>
      </w:r>
    </w:p>
    <w:p>
      <w:pPr>
        <w:pStyle w:val="Heading2"/>
        <w:keepNext/>
      </w:pPr>
      <w:r>
        <w:t>23. Governing law</w:t>
      </w:r>
    </w:p>
    <w:p>
      <w:r>
        <w:t>This Agreement is governed by Texas law, subject to applicable federal tax law.</w:t>
      </w:r>
    </w:p>
    <w:p>
      <w:pPr>
        <w:pStyle w:val="Heading1"/>
        <w:keepNext/>
      </w:pPr>
      <w:r>
        <w:t>Schedule A — Activity Allocation Matrix</w:t>
      </w:r>
    </w:p>
    <w:tbl>
      <w:tblPr>
        <w:tblStyle w:val="TableGrid"/>
        <w:tblW w:type="auto" w:w="0"/>
        <w:jc w:val="center"/>
        <w:tblLook w:firstColumn="1" w:firstRow="1" w:lastColumn="0" w:lastRow="0" w:noHBand="0" w:noVBand="1" w:val="04A0"/>
      </w:tblPr>
      <w:tblGrid>
        <w:gridCol w:w="3293"/>
        <w:gridCol w:w="3293"/>
        <w:gridCol w:w="3293"/>
      </w:tblGrid>
      <w:tr>
        <w:trPr>
          <w:tblHeader w:val="true"/>
        </w:trPr>
        <w:tc>
          <w:tcPr>
            <w:tcW w:type="dxa" w:w="3293"/>
            <w:shd w:fill="DDE9E4"/>
          </w:tcPr>
          <w:p>
            <w:r>
              <w:t>Activity</w:t>
            </w:r>
          </w:p>
        </w:tc>
        <w:tc>
          <w:tcPr>
            <w:tcW w:type="dxa" w:w="3293"/>
            <w:shd w:fill="DDE9E4"/>
          </w:tcPr>
          <w:p>
            <w:r>
              <w:t>Primary Entity</w:t>
            </w:r>
          </w:p>
        </w:tc>
        <w:tc>
          <w:tcPr>
            <w:tcW w:type="dxa" w:w="3293"/>
            <w:shd w:fill="DDE9E4"/>
          </w:tcPr>
          <w:p>
            <w:r>
              <w:t>Notes</w:t>
            </w:r>
          </w:p>
        </w:tc>
      </w:tr>
      <w:tr>
        <w:tc>
          <w:tcPr>
            <w:tcW w:type="dxa" w:w="3293"/>
          </w:tcPr>
          <w:p>
            <w:r>
              <w:t>Public-record library and neutral explainers</w:t>
            </w:r>
          </w:p>
        </w:tc>
        <w:tc>
          <w:tcPr>
            <w:tcW w:type="dxa" w:w="3293"/>
          </w:tcPr>
          <w:p>
            <w:r>
              <w:t>Foundation</w:t>
            </w:r>
          </w:p>
        </w:tc>
        <w:tc>
          <w:tcPr>
            <w:tcW w:type="dxa" w:w="3293"/>
          </w:tcPr>
          <w:p>
            <w:r>
              <w:t>Charitable/educational if nonpartisan and methodologically sound.</w:t>
            </w:r>
          </w:p>
        </w:tc>
      </w:tr>
      <w:tr>
        <w:tc>
          <w:tcPr>
            <w:tcW w:type="dxa" w:w="3293"/>
          </w:tcPr>
          <w:p>
            <w:r>
              <w:t>Bilingual civic information and renter outreach</w:t>
            </w:r>
          </w:p>
        </w:tc>
        <w:tc>
          <w:tcPr>
            <w:tcW w:type="dxa" w:w="3293"/>
          </w:tcPr>
          <w:p>
            <w:r>
              <w:t>Foundation</w:t>
            </w:r>
          </w:p>
        </w:tc>
        <w:tc>
          <w:tcPr>
            <w:tcW w:type="dxa" w:w="3293"/>
          </w:tcPr>
          <w:p>
            <w:r>
              <w:t>Charitable/educational; Action Fund may separately use its own resources for advocacy outreach.</w:t>
            </w:r>
          </w:p>
        </w:tc>
      </w:tr>
      <w:tr>
        <w:tc>
          <w:tcPr>
            <w:tcW w:type="dxa" w:w="3293"/>
          </w:tcPr>
          <w:p>
            <w:r>
              <w:t>Community surveys / needs assessments</w:t>
            </w:r>
          </w:p>
        </w:tc>
        <w:tc>
          <w:tcPr>
            <w:tcW w:type="dxa" w:w="3293"/>
          </w:tcPr>
          <w:p>
            <w:r>
              <w:t>Foundation</w:t>
            </w:r>
          </w:p>
        </w:tc>
        <w:tc>
          <w:tcPr>
            <w:tcW w:type="dxa" w:w="3293"/>
          </w:tcPr>
          <w:p>
            <w:r>
              <w:t>If designed primarily for research/education and not to mobilize a legislative position.</w:t>
            </w:r>
          </w:p>
        </w:tc>
      </w:tr>
      <w:tr>
        <w:tc>
          <w:tcPr>
            <w:tcW w:type="dxa" w:w="3293"/>
          </w:tcPr>
          <w:p>
            <w:r>
              <w:t>Educational town halls/listening sessions</w:t>
            </w:r>
          </w:p>
        </w:tc>
        <w:tc>
          <w:tcPr>
            <w:tcW w:type="dxa" w:w="3293"/>
          </w:tcPr>
          <w:p>
            <w:r>
              <w:t>Foundation</w:t>
            </w:r>
          </w:p>
        </w:tc>
        <w:tc>
          <w:tcPr>
            <w:tcW w:type="dxa" w:w="3293"/>
          </w:tcPr>
          <w:p>
            <w:r>
              <w:t>Action Fund pays for any lobbying/action segment.</w:t>
            </w:r>
          </w:p>
        </w:tc>
      </w:tr>
      <w:tr>
        <w:tc>
          <w:tcPr>
            <w:tcW w:type="dxa" w:w="3293"/>
          </w:tcPr>
          <w:p>
            <w:r>
              <w:t>Neighborhood history / archives</w:t>
            </w:r>
          </w:p>
        </w:tc>
        <w:tc>
          <w:tcPr>
            <w:tcW w:type="dxa" w:w="3293"/>
          </w:tcPr>
          <w:p>
            <w:r>
              <w:t>Foundation</w:t>
            </w:r>
          </w:p>
        </w:tc>
        <w:tc>
          <w:tcPr>
            <w:tcW w:type="dxa" w:w="3293"/>
          </w:tcPr>
          <w:p>
            <w:r>
              <w:t>Charitable/educational.</w:t>
            </w:r>
          </w:p>
        </w:tc>
      </w:tr>
      <w:tr>
        <w:tc>
          <w:tcPr>
            <w:tcW w:type="dxa" w:w="3293"/>
          </w:tcPr>
          <w:p>
            <w:r>
              <w:t>Charitable neighborhood improvement / public-space programs</w:t>
            </w:r>
          </w:p>
        </w:tc>
        <w:tc>
          <w:tcPr>
            <w:tcW w:type="dxa" w:w="3293"/>
          </w:tcPr>
          <w:p>
            <w:r>
              <w:t>Foundation</w:t>
            </w:r>
          </w:p>
        </w:tc>
        <w:tc>
          <w:tcPr>
            <w:tcW w:type="dxa" w:w="3293"/>
          </w:tcPr>
          <w:p>
            <w:r>
              <w:t>Subject to grant and private-benefit review.</w:t>
            </w:r>
          </w:p>
        </w:tc>
      </w:tr>
      <w:tr>
        <w:tc>
          <w:tcPr>
            <w:tcW w:type="dxa" w:w="3293"/>
          </w:tcPr>
          <w:p>
            <w:r>
              <w:t>Position on zoning, plat, TIF or ordinance</w:t>
            </w:r>
          </w:p>
        </w:tc>
        <w:tc>
          <w:tcPr>
            <w:tcW w:type="dxa" w:w="3293"/>
          </w:tcPr>
          <w:p>
            <w:r>
              <w:t>Action Fund</w:t>
            </w:r>
          </w:p>
        </w:tc>
        <w:tc>
          <w:tcPr>
            <w:tcW w:type="dxa" w:w="3293"/>
          </w:tcPr>
          <w:p>
            <w:r>
              <w:t>Issue advocacy/lobbying.</w:t>
            </w:r>
          </w:p>
        </w:tc>
      </w:tr>
      <w:tr>
        <w:tc>
          <w:tcPr>
            <w:tcW w:type="dxa" w:w="3293"/>
          </w:tcPr>
          <w:p>
            <w:r>
              <w:t>Petition asking City/TIF/Council to approve or reject</w:t>
            </w:r>
          </w:p>
        </w:tc>
        <w:tc>
          <w:tcPr>
            <w:tcW w:type="dxa" w:w="3293"/>
          </w:tcPr>
          <w:p>
            <w:r>
              <w:t>Action Fund</w:t>
            </w:r>
          </w:p>
        </w:tc>
        <w:tc>
          <w:tcPr>
            <w:tcW w:type="dxa" w:w="3293"/>
          </w:tcPr>
          <w:p>
            <w:r>
              <w:t>Grassroots advocacy/lobbying.</w:t>
            </w:r>
          </w:p>
        </w:tc>
      </w:tr>
      <w:tr>
        <w:tc>
          <w:tcPr>
            <w:tcW w:type="dxa" w:w="3293"/>
          </w:tcPr>
          <w:p>
            <w:r>
              <w:t>Call/text/email residents to contact officials</w:t>
            </w:r>
          </w:p>
        </w:tc>
        <w:tc>
          <w:tcPr>
            <w:tcW w:type="dxa" w:w="3293"/>
          </w:tcPr>
          <w:p>
            <w:r>
              <w:t>Action Fund</w:t>
            </w:r>
          </w:p>
        </w:tc>
        <w:tc>
          <w:tcPr>
            <w:tcW w:type="dxa" w:w="3293"/>
          </w:tcPr>
          <w:p>
            <w:r>
              <w:t>Grassroots lobbying when legislation is implicated; allocate fully to Action Fund unless counsel determines otherwise.</w:t>
            </w:r>
          </w:p>
        </w:tc>
      </w:tr>
      <w:tr>
        <w:tc>
          <w:tcPr>
            <w:tcW w:type="dxa" w:w="3293"/>
          </w:tcPr>
          <w:p>
            <w:r>
              <w:t>Candidate campaign support/opposition</w:t>
            </w:r>
          </w:p>
        </w:tc>
        <w:tc>
          <w:tcPr>
            <w:tcW w:type="dxa" w:w="3293"/>
          </w:tcPr>
          <w:p>
            <w:r>
              <w:t>Neither under current policy</w:t>
            </w:r>
          </w:p>
        </w:tc>
        <w:tc>
          <w:tcPr>
            <w:tcW w:type="dxa" w:w="3293"/>
          </w:tcPr>
          <w:p>
            <w:r>
              <w:t>Foundation prohibited by law; Action Fund bylaws currently prohibit.</w:t>
            </w:r>
          </w:p>
        </w:tc>
      </w:tr>
      <w:tr>
        <w:tc>
          <w:tcPr>
            <w:tcW w:type="dxa" w:w="3293"/>
          </w:tcPr>
          <w:p>
            <w:r>
              <w:t>Website hosting / CRM / accounting</w:t>
            </w:r>
          </w:p>
        </w:tc>
        <w:tc>
          <w:tcPr>
            <w:tcW w:type="dxa" w:w="3293"/>
          </w:tcPr>
          <w:p>
            <w:r>
              <w:t>Shared — allocated</w:t>
            </w:r>
          </w:p>
        </w:tc>
        <w:tc>
          <w:tcPr>
            <w:tcW w:type="dxa" w:w="3293"/>
          </w:tcPr>
          <w:p>
            <w:r>
              <w:t>Direct charge or reasonable documented allocation.</w:t>
            </w:r>
          </w:p>
        </w:tc>
      </w:tr>
      <w:tr>
        <w:tc>
          <w:tcPr>
            <w:tcW w:type="dxa" w:w="3293"/>
          </w:tcPr>
          <w:p>
            <w:r>
              <w:t>Community meeting with both education and action</w:t>
            </w:r>
          </w:p>
        </w:tc>
        <w:tc>
          <w:tcPr>
            <w:tcW w:type="dxa" w:w="3293"/>
          </w:tcPr>
          <w:p>
            <w:r>
              <w:t>Shared — segmented/allocated</w:t>
            </w:r>
          </w:p>
        </w:tc>
        <w:tc>
          <w:tcPr>
            <w:tcW w:type="dxa" w:w="3293"/>
          </w:tcPr>
          <w:p>
            <w:r>
              <w:t>Agenda, staff time and direct costs allocated by content and use.</w:t>
            </w:r>
          </w:p>
        </w:tc>
      </w:tr>
    </w:tbl>
    <w:p>
      <w:pPr>
        <w:pStyle w:val="Heading1"/>
        <w:keepNext/>
      </w:pPr>
      <w:r>
        <w:t>Schedule B — Cost Allocation Methods</w:t>
      </w:r>
    </w:p>
    <w:p>
      <w:pPr>
        <w:pStyle w:val="ListBullet"/>
      </w:pPr>
      <w:r>
        <w:t>Direct invoice/receipt: charge 100% to the benefiting entity.</w:t>
      </w:r>
    </w:p>
    <w:p>
      <w:pPr>
        <w:pStyle w:val="ListBullet"/>
      </w:pPr>
      <w:r>
        <w:t>Personnel/contractor time: allocate by contemporaneous or periodic time records.</w:t>
      </w:r>
    </w:p>
    <w:p>
      <w:pPr>
        <w:pStyle w:val="ListBullet"/>
      </w:pPr>
      <w:r>
        <w:t>Website/domain: allocate by entity-specific pages/features, traffic/content volume, or another reasonable measure reviewed annually.</w:t>
      </w:r>
    </w:p>
    <w:p>
      <w:pPr>
        <w:pStyle w:val="ListBullet"/>
      </w:pPr>
      <w:r>
        <w:t>Email/CRM: allocate by active contacts, campaigns sent or license seats.</w:t>
      </w:r>
    </w:p>
    <w:p>
      <w:pPr>
        <w:pStyle w:val="ListBullet"/>
      </w:pPr>
      <w:r>
        <w:t>Meeting/event space: allocate by agenda time, sponsorship or participant/program share.</w:t>
      </w:r>
    </w:p>
    <w:p>
      <w:pPr>
        <w:pStyle w:val="ListBullet"/>
      </w:pPr>
      <w:r>
        <w:t>Accounting/legal/insurance: allocate by invoice matter, transaction volume, payroll, coverage exposure or another documented reasonable measure.</w:t>
      </w:r>
    </w:p>
    <w:p>
      <w:pPr>
        <w:pStyle w:val="ListBullet"/>
      </w:pPr>
      <w:r>
        <w:t>General overhead: use only when a more direct method is impractical; document the formula and apply consistently.</w:t>
      </w:r>
    </w:p>
    <w:p>
      <w:pPr>
        <w:pStyle w:val="Heading1"/>
        <w:keepNext/>
      </w:pPr>
      <w:r>
        <w:t>Schedule C — Model Donation Disclosures</w:t>
      </w:r>
    </w:p>
    <w:p>
      <w:pPr>
        <w:pStyle w:val="Heading3"/>
        <w:keepNext/>
      </w:pPr>
      <w:r>
        <w:t>Foundation</w:t>
      </w:r>
    </w:p>
    <w:p>
      <w:r>
        <w:t>Your contribution is to Woodhaven Unites Foundation, Inc., a nonprofit organization seeking/recognized as exempt under Section 501(c)(3). Contributions are deductible only to the extent permitted by law and the organization's federal status at the time of the gift.</w:t>
      </w:r>
    </w:p>
    <w:p>
      <w:pPr>
        <w:pStyle w:val="Heading3"/>
        <w:keepNext/>
      </w:pPr>
      <w:r>
        <w:t>Action Fund</w:t>
      </w:r>
    </w:p>
    <w:p>
      <w:r>
        <w:t>Your contribution is to Woodhaven Unites Action Fund, Inc., a Section 501(c)(4) social-welfare organization. Contributions are generally not deductible as charitable contributions for federal income-tax purposes.</w:t>
      </w:r>
    </w:p>
    <w:p>
      <w:pPr>
        <w:pStyle w:val="Heading3"/>
        <w:keepNext/>
      </w:pPr>
      <w:r>
        <w:t>No automatic transfer</w:t>
      </w:r>
    </w:p>
    <w:p>
      <w:r>
        <w:t>A contribution made to one entity will not be automatically transferred to the other. If you wish to support both charitable programs and advocacy, use the separate contribution options provided.</w:t>
      </w:r>
    </w:p>
    <w:p>
      <w:pPr>
        <w:pStyle w:val="Heading1"/>
        <w:keepNext/>
      </w:pPr>
      <w:r>
        <w:t>Schedule D — Website Labeling Standard</w:t>
      </w:r>
    </w:p>
    <w:p>
      <w:pPr>
        <w:pStyle w:val="ListBullet"/>
      </w:pPr>
      <w:r>
        <w:t>Header/footer may use the shared Woodhaven Unites brand.</w:t>
      </w:r>
    </w:p>
    <w:p>
      <w:pPr>
        <w:pStyle w:val="ListBullet"/>
      </w:pPr>
      <w:r>
        <w:t>Donation pages identify the exact legal recipient before payment.</w:t>
      </w:r>
    </w:p>
    <w:p>
      <w:pPr>
        <w:pStyle w:val="ListBullet"/>
      </w:pPr>
      <w:r>
        <w:t>Foundation-funded pages display “A program of Woodhaven Unites Foundation, Inc.”</w:t>
      </w:r>
    </w:p>
    <w:p>
      <w:pPr>
        <w:pStyle w:val="ListBullet"/>
      </w:pPr>
      <w:r>
        <w:t>Advocacy alerts, petitions and calls to government display “Woodhaven Unites Action Fund, Inc.”</w:t>
      </w:r>
    </w:p>
    <w:p>
      <w:pPr>
        <w:pStyle w:val="ListBullet"/>
      </w:pPr>
      <w:r>
        <w:t>A shared About/Governance page explains the two-entity structure in plain language.</w:t>
      </w:r>
    </w:p>
    <w:p>
      <w:pPr>
        <w:pStyle w:val="ListBullet"/>
      </w:pPr>
      <w:r>
        <w:t>Source-document pages may be shared, but the entity responsible for analysis/editorial content should be identified.</w:t>
      </w:r>
    </w:p>
    <w:p>
      <w:pPr>
        <w:pStyle w:val="ListBullet"/>
      </w:pPr>
      <w:r>
        <w:t>Candidate-related material is never placed on a Foundation-funded page or sent through Foundation-paid distribution.</w:t>
      </w:r>
    </w:p>
    <w:p>
      <w:pPr>
        <w:pStyle w:val="Heading1"/>
        <w:keepNext/>
      </w:pPr>
      <w:r>
        <w:t>Signatures</w:t>
      </w:r>
    </w:p>
    <w:p>
      <w:pPr>
        <w:spacing w:after="0" w:before="0" w:line="168" w:lineRule="auto"/>
      </w:pPr>
    </w:p>
    <w:p>
      <w:pPr>
        <w:spacing w:after="0"/>
        <w:keepNext/>
      </w:pPr>
      <w:r>
        <w:t>____________________________________________</w:t>
      </w:r>
    </w:p>
    <w:p>
      <w:pPr>
        <w:pStyle w:val="SmallNote"/>
        <w:keepNext/>
      </w:pPr>
      <w:r>
        <w:t>President, Woodhaven Unites Foundation, Inc.</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Secretary, Woodhaven Unites Foundation, Inc.</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President, Woodhaven Unites Action Fund, Inc.</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Secretary, Woodhaven Unites Action Fund, Inc.</w:t>
      </w:r>
    </w:p>
    <w:p>
      <w:pPr>
        <w:pStyle w:val="SmallNote"/>
        <w:keepNext/>
      </w:pPr>
      <w:r>
        <w:t>Date: ____________________</w:t>
      </w:r>
    </w:p>
    <w:p>
      <w:pPr>
        <w:pStyle w:val="Heading1"/>
        <w:keepNext/>
        <w:pageBreakBefore/>
      </w:pPr>
      <w:r>
        <w:t>Current Legal Reference Notes</w:t>
      </w:r>
    </w:p>
    <w:p>
      <w:r>
        <w:t>These drafting notes were checked against current official sources on August 12, 2026. They are included so counsel can quickly verify the assumptions used in this packet.</w:t>
      </w:r>
    </w:p>
    <w:p>
      <w:pPr>
        <w:pStyle w:val="Heading3"/>
        <w:keepNext/>
      </w:pPr>
      <w:r>
        <w:t>Texas nonprofit formation</w:t>
      </w:r>
    </w:p>
    <w:p>
      <w:r>
        <w:t>Texas Secretary of State Form 202 requires a nonprofit name, registered agent and registered office, management information, membership selection, purpose, initial mailing address, organizer and execution. A board-managed nonprofit requires at least three initial directors. Current filing fee: $25.</w:t>
      </w:r>
    </w:p>
    <w:p>
      <w:pPr>
        <w:pStyle w:val="Heading3"/>
        <w:keepNext/>
      </w:pPr>
      <w:r>
        <w:t>501(c)(3) organizing document</w:t>
      </w:r>
    </w:p>
    <w:p>
      <w:r>
        <w:t>IRS guidance requires the organizing document to limit purposes to Section 501(c)(3) exempt purposes and permanently dedicate assets to Section 501(c)(3) purposes or government upon dissolution.</w:t>
      </w:r>
    </w:p>
    <w:p>
      <w:pPr>
        <w:pStyle w:val="Heading3"/>
        <w:keepNext/>
      </w:pPr>
      <w:r>
        <w:t>501(c)(3) campaign activity</w:t>
      </w:r>
    </w:p>
    <w:p>
      <w:r>
        <w:t>Section 501(c)(3) organizations are prohibited from directly or indirectly participating or intervening in political campaigns for or against candidates for elective public office.</w:t>
      </w:r>
    </w:p>
    <w:p>
      <w:pPr>
        <w:pStyle w:val="Heading3"/>
        <w:keepNext/>
      </w:pPr>
      <w:r>
        <w:t>501(h) lobbying election</w:t>
      </w:r>
    </w:p>
    <w:p>
      <w:r>
        <w:t>Eligible public charities may elect the expenditure test by filing Form 5768. The election provides an expenditure-based method for measuring permissible lobbying.</w:t>
      </w:r>
    </w:p>
    <w:p>
      <w:pPr>
        <w:pStyle w:val="Heading3"/>
        <w:keepNext/>
      </w:pPr>
      <w:r>
        <w:t>501(c)(4) notice</w:t>
      </w:r>
    </w:p>
    <w:p>
      <w:r>
        <w:t>An organization intending to operate under Section 501(c)(4) generally must electronically submit Form 8976 within 60 days of formation. The IRS currently charges a $50 fee. Form 1024-A is optional for organizations seeking a formal recognition letter.</w:t>
      </w:r>
    </w:p>
    <w:p>
      <w:pPr>
        <w:pStyle w:val="Heading3"/>
        <w:keepNext/>
      </w:pPr>
      <w:r>
        <w:t>Texas state tax exemption</w:t>
      </w:r>
    </w:p>
    <w:p>
      <w:r>
        <w:t>Texas nonprofit incorporation does not itself create state tax exemption. After federal recognition, an organization seeking Texas sales/franchise tax exemption should use the applicable Comptroller exemption process and ensure the legal name matches the federal determination letter.</w:t>
      </w:r>
    </w:p>
    <w:p>
      <w:pPr>
        <w:pStyle w:val="SmallNote"/>
      </w:pPr>
      <w:r>
        <w:t>Primary official references: Texas Secretary of State, Form 202 and instructions; IRS guidance on required provisions for charitable organizing documents, Form 1023/1023-EZ, Form 5768, and Form 8976; Texas Comptroller exempt-organization guidance.</w:t>
      </w:r>
    </w:p>
    <w:sectPr w:rsidR="00FC693F" w:rsidRPr="0006063C" w:rsidSect="00034616">
      <w:headerReference w:type="default" r:id="rId9"/>
      <w:footerReference w:type="default" r:id="rId10"/>
      <w:pgSz w:w="12240" w:h="15840"/>
      <w:pgMar w:top="1037" w:right="1181"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 xml:space="preserve">DRAFT — ATTORNEY REVIEW — NOT READY TO FILE  |  August 12, 2026     </w:t>
    </w:r>
    <w: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Woodhaven Unites — Draft Affiliation &amp; Shared Services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47"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F3A32"/>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B5147"/>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3047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3A32"/>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5C6B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Aptos" w:hAnsi="Aptos"/>
      <w:color w:val="626262"/>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