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B5147"/>
          <w:sz w:val="28"/>
        </w:rPr>
        <w:t>WOODHAVEN UNITES</w:t>
      </w:r>
    </w:p>
    <w:p>
      <w:pPr>
        <w:jc w:val="center"/>
      </w:pPr>
      <w:r>
        <w:rPr>
          <w:b/>
          <w:color w:val="1F3A32"/>
          <w:sz w:val="52"/>
        </w:rPr>
        <w:t>WOODHAVEN UNITES FOUNDATION, INC.</w:t>
      </w:r>
    </w:p>
    <w:p>
      <w:pPr>
        <w:jc w:val="center"/>
      </w:pPr>
      <w:r>
        <w:rPr>
          <w:color w:val="52625D"/>
          <w:sz w:val="26"/>
        </w:rPr>
        <w:t>Proposed 501(c)(3) Public Charity — Formation &amp; Governance Packet</w:t>
      </w:r>
    </w:p>
    <w:p/>
    <w:tbl>
      <w:tblPr>
        <w:tblW w:type="auto" w:w="0"/>
        <w:jc w:val="center"/>
        <w:tblLook w:firstColumn="1" w:firstRow="1" w:lastColumn="0" w:lastRow="0" w:noHBand="0" w:noVBand="1" w:val="04A0"/>
      </w:tblPr>
      <w:tblGrid>
        <w:gridCol w:w="9878"/>
      </w:tblGrid>
      <w:tr>
        <w:tc>
          <w:tcPr>
            <w:tcW w:type="dxa" w:w="9878"/>
            <w:shd w:fill="EEF4F1"/>
            <w:tcMar>
              <w:top w:w="170" w:type="dxa"/>
              <w:start w:w="170" w:type="dxa"/>
              <w:bottom w:w="170" w:type="dxa"/>
              <w:end w:w="170" w:type="dxa"/>
            </w:tcMar>
          </w:tcPr>
          <w:p>
            <w:pPr>
              <w:jc w:val="center"/>
            </w:pPr>
            <w:r>
              <w:rPr>
                <w:b/>
                <w:sz w:val="21"/>
              </w:rPr>
              <w:t>DRAFT — ATTORNEY REVIEW — NOT READY TO FILE</w:t>
            </w:r>
          </w:p>
          <w:p>
            <w:pPr>
              <w:jc w:val="center"/>
            </w:pPr>
            <w:r>
              <w:t>Prepared for organizational planning and Texas nonprofit/tax counsel review before filing or adoption.</w:t>
            </w:r>
          </w:p>
          <w:p>
            <w:pPr>
              <w:jc w:val="center"/>
            </w:pPr>
            <w:r>
              <w:t>“Foundation” is a name/brand choice; this draft is intended for public-charity status, not private-foundation classification.</w:t>
            </w:r>
          </w:p>
        </w:tc>
      </w:tr>
    </w:tbl>
    <w:p/>
    <w:p>
      <w:pPr>
        <w:jc w:val="center"/>
      </w:pPr>
      <w:r>
        <w:rPr>
          <w:i/>
          <w:sz w:val="22"/>
        </w:rPr>
        <w:t>Independent. Transparent. Resident-Led.</w:t>
      </w:r>
    </w:p>
    <w:p/>
    <w:p>
      <w:pPr>
        <w:pStyle w:val="SmallNote"/>
        <w:jc w:val="center"/>
      </w:pPr>
      <w:r>
        <w:t>August 12, 2026</w:t>
      </w:r>
    </w:p>
    <w:p>
      <w:r>
        <w:br w:type="page"/>
      </w:r>
    </w:p>
    <w:p>
      <w:pPr>
        <w:pStyle w:val="Heading1"/>
        <w:keepNext/>
      </w:pPr>
      <w:r>
        <w:t>Structural Design</w:t>
      </w:r>
    </w:p>
    <w:p>
      <w:r>
        <w:t>The Foundation is drafted as a separate Texas nonprofit corporation with no statutory members. Its Board is designed to remain resident-centered while allowing limited outside professional expertise. This reduces duplicated member elections and helps keep charitable/grant-funded work separate from Action Fund advocacy.</w:t>
      </w:r>
    </w:p>
    <w:p>
      <w:pPr>
        <w:pStyle w:val="Heading2"/>
        <w:keepNext/>
      </w:pPr>
      <w:r>
        <w:t>Resident-centered safeguards</w:t>
      </w:r>
    </w:p>
    <w:p>
      <w:pPr>
        <w:pStyle w:val="ListBullet"/>
      </w:pPr>
      <w:r>
        <w:t>At least a majority of directors must be Woodhaven residents; a larger resident majority is encouraged.</w:t>
      </w:r>
    </w:p>
    <w:p>
      <w:pPr>
        <w:pStyle w:val="ListBullet"/>
      </w:pPr>
      <w:r>
        <w:t>The same WNA/WCD, elected-official, candidate and covered campaign-role independence restrictions used by the Action Fund apply to the Foundation Board.</w:t>
      </w:r>
    </w:p>
    <w:p>
      <w:pPr>
        <w:pStyle w:val="ListBullet"/>
      </w:pPr>
      <w:r>
        <w:t>Foundation meetings, records, financial reports and conflict disclosures follow a presumption of openness.</w:t>
      </w:r>
    </w:p>
    <w:p>
      <w:pPr>
        <w:pStyle w:val="ListBullet"/>
      </w:pPr>
      <w:r>
        <w:t>A Community Advisory Council and open listening/survey process give residents a formal route to shape charitable and educational programs.</w:t>
      </w:r>
    </w:p>
    <w:p>
      <w:pPr>
        <w:pStyle w:val="ListBullet"/>
      </w:pPr>
      <w:r>
        <w:t>The Foundation may collaborate with the Action Fund but maintains separate books, bank accounts, grants, contracts and decision records.</w:t>
      </w:r>
    </w:p>
    <w:p>
      <w:pPr>
        <w:pStyle w:val="Heading1"/>
        <w:keepNext/>
      </w:pPr>
      <w:r>
        <w:t>1. Draft Certificate of Formation — Texas Form 202 Addendum</w:t>
      </w:r>
    </w:p>
    <w:p>
      <w:pPr>
        <w:pStyle w:val="Heading2"/>
        <w:keepNext/>
      </w:pPr>
      <w:r>
        <w:t>Article 1 — Entity Name and Type</w:t>
      </w:r>
    </w:p>
    <w:p>
      <w:r>
        <w:t>The filing entity being formed is a nonprofit corporation. The name of the entity is WOODHAVEN UNITES FOUNDATION, INC.</w:t>
      </w:r>
    </w:p>
    <w:p>
      <w:pPr>
        <w:pStyle w:val="Heading2"/>
        <w:keepNext/>
      </w:pPr>
      <w:r>
        <w:t>Article 2 — Registered Agent and Registered Office</w:t>
      </w:r>
    </w:p>
    <w:p>
      <w:r>
        <w:t>Initial registered agent: Erika Graham</w:t>
      </w:r>
    </w:p>
    <w:p>
      <w:r>
        <w:t>Registered office: 512 Oakmont Ln N, Fort Worth, Texas 76112</w:t>
      </w:r>
    </w:p>
    <w:p>
      <w:pPr>
        <w:pStyle w:val="SmallNote"/>
      </w:pPr>
      <w:r>
        <w:t>The organizer shall obtain and retain the registered agent's written consent before filing.</w:t>
      </w:r>
    </w:p>
    <w:p>
      <w:pPr>
        <w:pStyle w:val="Heading2"/>
        <w:keepNext/>
      </w:pPr>
      <w:r>
        <w:t>Article 3 — Management</w:t>
      </w:r>
    </w:p>
    <w:p>
      <w:r>
        <w:t>Management of the affairs of the corporation is vested in its Board of Directors. The initial directors shall serve until their successors are elected or appointed and qualified under the bylaws.</w:t>
      </w:r>
    </w:p>
    <w:tbl>
      <w:tblPr>
        <w:tblStyle w:val="TableGrid"/>
        <w:tblW w:type="auto" w:w="0"/>
        <w:jc w:val="center"/>
        <w:tblLook w:firstColumn="1" w:firstRow="1" w:lastColumn="0" w:lastRow="0" w:noHBand="0" w:noVBand="1" w:val="04A0"/>
      </w:tblPr>
      <w:tblGrid>
        <w:gridCol w:w="4939"/>
        <w:gridCol w:w="4939"/>
      </w:tblGrid>
      <w:tr>
        <w:trPr>
          <w:tblHeader w:val="true"/>
        </w:trPr>
        <w:tc>
          <w:tcPr>
            <w:tcW w:type="dxa" w:w="4939"/>
          </w:tcPr>
          <w:p>
            <w:r>
              <w:t>Initial Director</w:t>
            </w:r>
          </w:p>
        </w:tc>
        <w:tc>
          <w:tcPr>
            <w:tcW w:type="dxa" w:w="4939"/>
          </w:tcPr>
          <w:p>
            <w:r>
              <w:t>Street or Mailing Address</w:t>
            </w:r>
          </w:p>
        </w:tc>
      </w:tr>
      <w:tr>
        <w:tc>
          <w:tcPr>
            <w:tcW w:type="dxa" w:w="4939"/>
          </w:tcPr>
          <w:p>
            <w:r>
              <w:t>[DIRECTOR 1 LEGAL NAME]</w:t>
            </w:r>
          </w:p>
        </w:tc>
        <w:tc>
          <w:tcPr>
            <w:tcW w:type="dxa" w:w="4939"/>
          </w:tcPr>
          <w:p>
            <w:r>
              <w:t>[DIRECTOR 1 ADDRESS]</w:t>
            </w:r>
          </w:p>
        </w:tc>
      </w:tr>
      <w:tr>
        <w:tc>
          <w:tcPr>
            <w:tcW w:type="dxa" w:w="4939"/>
          </w:tcPr>
          <w:p>
            <w:r>
              <w:t>[DIRECTOR 2 LEGAL NAME]</w:t>
            </w:r>
          </w:p>
        </w:tc>
        <w:tc>
          <w:tcPr>
            <w:tcW w:type="dxa" w:w="4939"/>
          </w:tcPr>
          <w:p>
            <w:r>
              <w:t>[DIRECTOR 2 ADDRESS]</w:t>
            </w:r>
          </w:p>
        </w:tc>
      </w:tr>
      <w:tr>
        <w:tc>
          <w:tcPr>
            <w:tcW w:type="dxa" w:w="4939"/>
          </w:tcPr>
          <w:p>
            <w:r>
              <w:t>[DIRECTOR 3 LEGAL NAME]</w:t>
            </w:r>
          </w:p>
        </w:tc>
        <w:tc>
          <w:tcPr>
            <w:tcW w:type="dxa" w:w="4939"/>
          </w:tcPr>
          <w:p>
            <w:r>
              <w:t>[DIRECTOR 3 ADDRESS]</w:t>
            </w:r>
          </w:p>
        </w:tc>
      </w:tr>
      <w:tr>
        <w:tc>
          <w:tcPr>
            <w:tcW w:type="dxa" w:w="4939"/>
          </w:tcPr>
          <w:p>
            <w:r>
              <w:t>[DIRECTOR 4 LEGAL NAME]</w:t>
            </w:r>
          </w:p>
        </w:tc>
        <w:tc>
          <w:tcPr>
            <w:tcW w:type="dxa" w:w="4939"/>
          </w:tcPr>
          <w:p>
            <w:r>
              <w:t>[DIRECTOR 4 ADDRESS]</w:t>
            </w:r>
          </w:p>
        </w:tc>
      </w:tr>
      <w:tr>
        <w:tc>
          <w:tcPr>
            <w:tcW w:type="dxa" w:w="4939"/>
          </w:tcPr>
          <w:p>
            <w:r>
              <w:t>[DIRECTOR 5 LEGAL NAME]</w:t>
            </w:r>
          </w:p>
        </w:tc>
        <w:tc>
          <w:tcPr>
            <w:tcW w:type="dxa" w:w="4939"/>
          </w:tcPr>
          <w:p>
            <w:r>
              <w:t>[DIRECTOR 5 ADDRESS]</w:t>
            </w:r>
          </w:p>
        </w:tc>
      </w:tr>
    </w:tbl>
    <w:p>
      <w:pPr>
        <w:pStyle w:val="Heading2"/>
        <w:keepNext/>
      </w:pPr>
      <w:r>
        <w:t>Article 4 — Membership</w:t>
      </w:r>
    </w:p>
    <w:p>
      <w:r>
        <w:t>The nonprofit corporation will have no statutory members.</w:t>
      </w:r>
    </w:p>
    <w:p>
      <w:pPr>
        <w:pStyle w:val="Heading2"/>
        <w:keepNext/>
      </w:pPr>
      <w:r>
        <w:t>Article 5 — Charitable and Educational Purposes</w:t>
      </w:r>
    </w:p>
    <w:p>
      <w:r>
        <w:t>The Corporation is organized exclusively for charitable and educational purposes within the meaning of Section 501(c)(3) of the Internal Revenue Code, including: advancing civic education and public understanding of local government; expanding access to reliable public information and public records; conducting nonpartisan community research, surveys, needs assessments and educational programs; reducing language, housing-status and other barriers to resident participation; supporting community leadership and educational programming; preserving neighborhood history; and carrying out charitable neighborhood-improvement, environmental, public-space and quality-of-life programs for the benefit of the public.</w:t>
      </w:r>
    </w:p>
    <w:p>
      <w:pPr>
        <w:pStyle w:val="Heading2"/>
        <w:keepNext/>
      </w:pPr>
      <w:r>
        <w:t>Supplemental Provisions Required for 501(c)(3) Intent</w:t>
      </w:r>
    </w:p>
    <w:p>
      <w:r>
        <w:t>No private inurement/private benefit. No part of the net earnings shall inure to the benefit of any director, officer or private person, except reasonable compensation for services actually rendered and payments in furtherance of exempt purposes. The Corporation shall not be operated for the primary benefit of private interests.</w:t>
      </w:r>
    </w:p>
    <w:p>
      <w:r>
        <w:t>Lobbying. No substantial part of the activities shall be carrying on propaganda or otherwise attempting to influence legislation, except to the extent permitted by Section 501(h) and related provisions if a valid election is made.</w:t>
      </w:r>
    </w:p>
    <w:p>
      <w:r>
        <w:t>Political campaign prohibition. The Corporation shall not directly or indirectly participate or intervene in any political campaign on behalf of or in opposition to any candidate for elective public office.</w:t>
      </w:r>
    </w:p>
    <w:p>
      <w:r>
        <w:t>Permitted activities. The Corporation shall not carry on activities not permitted to be carried on by an organization exempt under Section 501(c)(3), or by an organization contributions to which are deductible under Section 170(c)(2) of the Internal Revenue Code.</w:t>
      </w:r>
    </w:p>
    <w:p>
      <w:r>
        <w:t>Dissolution. Upon dissolution, assets shall be distributed for one or more exempt purposes within the meaning of Section 501(c)(3), or to the federal government or a state or local government for a public purpose. No assets shall be distributed to the Action Fund or another Section 501(c)(4) organization merely by reason of affiliation.</w:t>
      </w:r>
    </w:p>
    <w:p>
      <w:r>
        <w:t>Nondiscrimination. The Corporation shall not discriminate in programs or services on the basis of race, color, religion, sex, national origin, disability, age, sexual orientation, gender identity, political affiliation or viewpoint, subject to lawful program eligibility criteria.</w:t>
      </w:r>
    </w:p>
    <w:p>
      <w:pPr>
        <w:pStyle w:val="Heading2"/>
        <w:keepNext/>
      </w:pPr>
      <w:r>
        <w:t>Initial Mailing Address; Organizer; Effectiveness</w:t>
      </w:r>
    </w:p>
    <w:p>
      <w:r>
        <w:t>Initial mailing address: 512 Oakmont Ln N, Fort Worth, Texas 76112</w:t>
      </w:r>
    </w:p>
    <w:p>
      <w:r>
        <w:t>Organizer: Erika Graham, 512 Oakmont Ln N, Fort Worth, Texas 76112</w:t>
      </w:r>
    </w:p>
    <w:p>
      <w:r>
        <w:t>Recommended effectiveness: effective when filed by the Texas Secretary of State.</w:t>
      </w:r>
    </w:p>
    <w:p>
      <w:pPr>
        <w:pStyle w:val="Heading1"/>
        <w:keepNext/>
      </w:pPr>
      <w:r>
        <w:t>2. Founding Charter and Bylaws</w:t>
      </w:r>
    </w:p>
    <w:p>
      <w:pPr>
        <w:pStyle w:val="Heading2"/>
        <w:keepNext/>
      </w:pPr>
      <w:r>
        <w:t>PREAMBLE</w:t>
      </w:r>
    </w:p>
    <w:p>
      <w:r>
        <w:t>Woodhaven Unites Foundation is established to give residents access to trustworthy information, meaningful educational opportunities and charitable programs that strengthen the Woodhaven community. The Foundation is independent, transparent, resident-centered and nonpartisan.</w:t>
      </w:r>
    </w:p>
    <w:p>
      <w:pPr>
        <w:pStyle w:val="Heading2"/>
        <w:keepNext/>
      </w:pPr>
      <w:r>
        <w:t>ARTICLE I — NAME, STATUS AND GUIDING PRINCIPLE</w:t>
      </w:r>
    </w:p>
    <w:p>
      <w:pPr>
        <w:pStyle w:val="Heading3"/>
        <w:keepNext/>
      </w:pPr>
      <w:r>
        <w:t>Section 1. Name.</w:t>
      </w:r>
    </w:p>
    <w:p>
      <w:r>
        <w:t>The name is Woodhaven Unites Foundation, Inc. (the “Foundation”). It may use “Woodhaven Unites” as a shared public-facing brand under a written affiliation agreement.</w:t>
      </w:r>
    </w:p>
    <w:p>
      <w:pPr>
        <w:pStyle w:val="Heading3"/>
        <w:keepNext/>
      </w:pPr>
      <w:r>
        <w:t>Section 2. Status.</w:t>
      </w:r>
    </w:p>
    <w:p>
      <w:r>
        <w:t>The Foundation is a Texas nonprofit corporation intended to qualify as a Section 501(c)(3) public charity. The word “Foundation” in its legal name does not mean it intends classification as a private foundation.</w:t>
      </w:r>
    </w:p>
    <w:p>
      <w:pPr>
        <w:pStyle w:val="Heading3"/>
        <w:keepNext/>
      </w:pPr>
      <w:r>
        <w:t>Section 3. Guiding principle.</w:t>
      </w:r>
    </w:p>
    <w:p>
      <w:r>
        <w:t>The Foundation shall provide accurate, accessible, nonpartisan information and charitable programming without using charitable resources to subsidize Action Fund advocacy.</w:t>
      </w:r>
    </w:p>
    <w:p>
      <w:pPr>
        <w:pStyle w:val="Heading2"/>
        <w:keepNext/>
      </w:pPr>
      <w:r>
        <w:t>ARTICLE II — CHARITABLE MISSION AND PROGRAMS</w:t>
      </w:r>
    </w:p>
    <w:p>
      <w:pPr>
        <w:pStyle w:val="Heading3"/>
        <w:keepNext/>
      </w:pPr>
      <w:r>
        <w:t>Section 1. Mission.</w:t>
      </w:r>
    </w:p>
    <w:p>
      <w:r>
        <w:t>Woodhaven Unites Foundation exists exclusively for charitable and educational purposes by expanding access to reliable civic information, strengthening resident participation, supporting community research and leadership, reducing barriers to participation for renters and historically underrepresented residents, preserving neighborhood history and supporting charitable neighborhood-improvement and quality-of-life programs.</w:t>
      </w:r>
    </w:p>
    <w:p>
      <w:pPr>
        <w:pStyle w:val="Heading3"/>
        <w:keepNext/>
      </w:pPr>
      <w:r>
        <w:t>Section 2. Illustrative programs.</w:t>
      </w:r>
    </w:p>
    <w:p>
      <w:r>
        <w:t>Programs may include civic-information explainers; public-record and source-document libraries; bilingual and accessible outreach; renter and apartment-resident engagement; community surveys and needs assessments; leadership development; educational town halls and listening sessions; neighborhood history; environmental and public-space education; charitable neighborhood improvement; and other programs consistent with Section 501(c)(3).</w:t>
      </w:r>
    </w:p>
    <w:p>
      <w:pPr>
        <w:pStyle w:val="Heading3"/>
        <w:keepNext/>
      </w:pPr>
      <w:r>
        <w:t>Section 3. Nonpartisan character.</w:t>
      </w:r>
    </w:p>
    <w:p>
      <w:r>
        <w:t>Educational content shall be presented in a manner consistent with charitable and educational purposes. The Foundation may explain policy choices and public processes, but candidate campaign intervention is prohibited.</w:t>
      </w:r>
    </w:p>
    <w:p>
      <w:pPr>
        <w:pStyle w:val="Heading2"/>
        <w:keepNext/>
      </w:pPr>
      <w:r>
        <w:t>ARTICLE III — COMMUNITY PARTICIPATION; NO STATUTORY MEMBERS</w:t>
      </w:r>
    </w:p>
    <w:p>
      <w:pPr>
        <w:pStyle w:val="Heading3"/>
        <w:keepNext/>
      </w:pPr>
      <w:r>
        <w:t>Section 1. No statutory members.</w:t>
      </w:r>
    </w:p>
    <w:p>
      <w:r>
        <w:t>The Foundation has no statutory voting members. References to participants, supporters or community members do not create membership rights under the Texas Business Organizations Code.</w:t>
      </w:r>
    </w:p>
    <w:p>
      <w:pPr>
        <w:pStyle w:val="Heading3"/>
        <w:keepNext/>
      </w:pPr>
      <w:r>
        <w:t>Section 2. Community Advisory Council.</w:t>
      </w:r>
    </w:p>
    <w:p>
      <w:r>
        <w:t>The Board shall establish a Community Advisory Council or comparable open advisory process to receive resident priorities, program ideas and feedback. Advisory participants do not exercise fiduciary Board authority.</w:t>
      </w:r>
    </w:p>
    <w:p>
      <w:pPr>
        <w:pStyle w:val="Heading3"/>
        <w:keepNext/>
      </w:pPr>
      <w:r>
        <w:t>Section 3. Open access.</w:t>
      </w:r>
    </w:p>
    <w:p>
      <w:r>
        <w:t>Foundation programming should be designed for the public benefit and should not condition access on donation or Action Fund membership.</w:t>
      </w:r>
    </w:p>
    <w:p>
      <w:pPr>
        <w:pStyle w:val="Heading2"/>
        <w:keepNext/>
      </w:pPr>
      <w:r>
        <w:t>ARTICLE IV — BOARD OF DIRECTORS</w:t>
      </w:r>
    </w:p>
    <w:p>
      <w:pPr>
        <w:pStyle w:val="Heading3"/>
        <w:keepNext/>
      </w:pPr>
      <w:r>
        <w:t>Section 1. Authority.</w:t>
      </w:r>
    </w:p>
    <w:p>
      <w:r>
        <w:t>The Board manages the Foundation and owes fiduciary duties solely to the Foundation and its charitable purposes.</w:t>
      </w:r>
    </w:p>
    <w:p>
      <w:pPr>
        <w:pStyle w:val="Heading3"/>
        <w:keepNext/>
      </w:pPr>
      <w:r>
        <w:t>Section 2. Size.</w:t>
      </w:r>
    </w:p>
    <w:p>
      <w:r>
        <w:t>The Board shall consist of not fewer than five and not more than nine directors after organizational formation. The initial Board may consist of at least three directors.</w:t>
      </w:r>
    </w:p>
    <w:p>
      <w:pPr>
        <w:pStyle w:val="Heading3"/>
        <w:keepNext/>
      </w:pPr>
      <w:r>
        <w:t>Section 3. Resident representation.</w:t>
      </w:r>
    </w:p>
    <w:p>
      <w:r>
        <w:t>At least a majority of directors then in office must have their primary residence within the Woodhaven service area. The Board may include nonresident directors with useful nonprofit, legal, financial, grant, education or community-development expertise.</w:t>
      </w:r>
    </w:p>
    <w:p>
      <w:pPr>
        <w:pStyle w:val="Heading3"/>
        <w:keepNext/>
      </w:pPr>
      <w:r>
        <w:t>Section 4. Independence.</w:t>
      </w:r>
    </w:p>
    <w:p>
      <w:r>
        <w:t>The independence rules stated below apply to all directors.</w:t>
      </w:r>
    </w:p>
    <w:p>
      <w:pPr>
        <w:pStyle w:val="ListBullet"/>
      </w:pPr>
      <w:r>
        <w:t>No person may serve as a director while serving as an officer of the Woodhaven Neighborhood Association (WNA) or Woodhaven Community Development, Inc. (WCD), or during the 12 months immediately following that service.</w:t>
      </w:r>
    </w:p>
    <w:p>
      <w:pPr>
        <w:pStyle w:val="ListBullet"/>
      </w:pPr>
      <w:r>
        <w:t>No person may serve as a director while holding elected federal, state, county, municipal, school-district, special-district or other governmental public office, or during the 12 months immediately following that elected service.</w:t>
      </w:r>
    </w:p>
    <w:p>
      <w:pPr>
        <w:pStyle w:val="ListBullet"/>
      </w:pPr>
      <w:r>
        <w:t>No person may serve as a director while actively seeking election or reelection to public office, or while serving as campaign treasurer, campaign manager or a paid campaign employee with managerial or policy-making authority for a candidate. The ineligibility continues for 12 months after the candidacy or covered campaign role ends.</w:t>
      </w:r>
    </w:p>
    <w:p>
      <w:pPr>
        <w:pStyle w:val="ListBullet"/>
      </w:pPr>
      <w:r>
        <w:t>These restrictions apply without regard to political party, viewpoint or position on any neighborhood issue and do not bar otherwise eligible persons from public comment, community participation or non-governing volunteer work.</w:t>
      </w:r>
    </w:p>
    <w:p>
      <w:pPr>
        <w:pStyle w:val="Heading3"/>
        <w:keepNext/>
      </w:pPr>
      <w:r>
        <w:t>Section 5. Terms.</w:t>
      </w:r>
    </w:p>
    <w:p>
      <w:r>
        <w:t>Directors serve staggered two-year terms and may serve no more than three consecutive full terms without a one-year break.</w:t>
      </w:r>
    </w:p>
    <w:p>
      <w:pPr>
        <w:pStyle w:val="Heading3"/>
        <w:keepNext/>
      </w:pPr>
      <w:r>
        <w:t>Section 6. Selection.</w:t>
      </w:r>
    </w:p>
    <w:p>
      <w:r>
        <w:t>The Board shall use a public nomination process when practical. Directors are elected by the Board after considering resident representation, independence, skills and diversity of experience. A Board-adopted succession policy may reserve seats for resident nominees recommended through the Community Advisory Council so long as fiduciary selection remains with the Foundation Board.</w:t>
      </w:r>
    </w:p>
    <w:p>
      <w:pPr>
        <w:pStyle w:val="Heading3"/>
        <w:keepNext/>
      </w:pPr>
      <w:r>
        <w:t>Section 7. Meetings.</w:t>
      </w:r>
    </w:p>
    <w:p>
      <w:r>
        <w:t>The Board shall meet at least quarterly. Regular meetings should be open to the public except for narrow confidentiality needs. Remote/hybrid meetings are allowed. Agendas should ordinarily be posted at least seven days in advance.</w:t>
      </w:r>
    </w:p>
    <w:p>
      <w:pPr>
        <w:pStyle w:val="Heading3"/>
        <w:keepNext/>
      </w:pPr>
      <w:r>
        <w:t>Section 8. Quorum.</w:t>
      </w:r>
    </w:p>
    <w:p>
      <w:r>
        <w:t>A majority of directors then in office constitutes a quorum. Unless a greater vote is required, action requires a majority of directors present and voting. Proxy voting is prohibited.</w:t>
      </w:r>
    </w:p>
    <w:p>
      <w:pPr>
        <w:pStyle w:val="Heading3"/>
        <w:keepNext/>
      </w:pPr>
      <w:r>
        <w:t>Section 9. Executive sessions.</w:t>
      </w:r>
    </w:p>
    <w:p>
      <w:r>
        <w:t>Closed sessions are limited to privileged legal advice, pending/threatened litigation, sensitive personnel matters, negotiations where disclosure would materially harm the Foundation, donor privacy where legally necessary, or protection of personal information. No final action may be taken in closed session.</w:t>
      </w:r>
    </w:p>
    <w:p>
      <w:pPr>
        <w:pStyle w:val="Heading3"/>
        <w:keepNext/>
      </w:pPr>
      <w:r>
        <w:t>Section 10. Vacancies and removal.</w:t>
      </w:r>
    </w:p>
    <w:p>
      <w:r>
        <w:t>Vacancies are filled by the Board. A director may be removed for serious misconduct, undisclosed conflict, breach of fiduciary duty, repeated unexcused absence, loss of eligibility or material bylaw violation after notice and opportunity to respond. Loss of eligibility under the independence rules creates an automatic vacancy.</w:t>
      </w:r>
    </w:p>
    <w:p>
      <w:pPr>
        <w:pStyle w:val="Heading3"/>
        <w:keepNext/>
      </w:pPr>
      <w:r>
        <w:t>Section 11. Compensation.</w:t>
      </w:r>
    </w:p>
    <w:p>
      <w:r>
        <w:t>Directors receive no compensation for board service. Reasonable documented expenses may be reimbursed. Compensated work outside board duties requires advance conflict disclosure and disinterested approval.</w:t>
      </w:r>
    </w:p>
    <w:p>
      <w:pPr>
        <w:pStyle w:val="Heading2"/>
        <w:keepNext/>
      </w:pPr>
      <w:r>
        <w:t>ARTICLE V — OFFICERS</w:t>
      </w:r>
    </w:p>
    <w:p>
      <w:pPr>
        <w:pStyle w:val="Heading3"/>
        <w:keepNext/>
      </w:pPr>
      <w:r>
        <w:t>Section 1.</w:t>
      </w:r>
    </w:p>
    <w:p>
      <w:r>
        <w:t>Officers are President, Vice President, Secretary and Treasurer, elected annually by the Board.</w:t>
      </w:r>
    </w:p>
    <w:p>
      <w:pPr>
        <w:pStyle w:val="Heading3"/>
        <w:keepNext/>
      </w:pPr>
      <w:r>
        <w:t>Section 2.</w:t>
      </w:r>
    </w:p>
    <w:p>
      <w:r>
        <w:t>The President provides leadership; Vice President acts in the President's absence; Secretary maintains minutes, records and notices; Treasurer oversees financial controls, restricted funds, reports and tax/grant compliance.</w:t>
      </w:r>
    </w:p>
    <w:p>
      <w:pPr>
        <w:pStyle w:val="Heading3"/>
        <w:keepNext/>
      </w:pPr>
      <w:r>
        <w:t>Section 3.</w:t>
      </w:r>
    </w:p>
    <w:p>
      <w:r>
        <w:t>The same person should not serve as both President and Treasurer. No person may approve a payment to themselves.</w:t>
      </w:r>
    </w:p>
    <w:p>
      <w:pPr>
        <w:pStyle w:val="Heading2"/>
        <w:keepNext/>
      </w:pPr>
      <w:r>
        <w:t>ARTICLE VI — COMMITTEES AND ADVISORY GROUPS</w:t>
      </w:r>
    </w:p>
    <w:p>
      <w:pPr>
        <w:pStyle w:val="Heading3"/>
        <w:keepNext/>
      </w:pPr>
      <w:r>
        <w:t>Section 1.</w:t>
      </w:r>
    </w:p>
    <w:p>
      <w:r>
        <w:t>The Board may create committees for Finance and Audit, Governance, Community Engagement, Education and Research, Grants and Programs, History, Communications and other charitable work.</w:t>
      </w:r>
    </w:p>
    <w:p>
      <w:pPr>
        <w:pStyle w:val="Heading3"/>
        <w:keepNext/>
      </w:pPr>
      <w:r>
        <w:t>Section 2.</w:t>
      </w:r>
    </w:p>
    <w:p>
      <w:r>
        <w:t>Only directors may exercise Board-delegated fiduciary authority. Non-directors may serve in advisory roles unless otherwise permitted by law and expressly authorized.</w:t>
      </w:r>
    </w:p>
    <w:p>
      <w:pPr>
        <w:pStyle w:val="Heading3"/>
        <w:keepNext/>
      </w:pPr>
      <w:r>
        <w:t>Section 3.</w:t>
      </w:r>
    </w:p>
    <w:p>
      <w:r>
        <w:t>No committee may bind the Foundation, make grants, incur debt, enter material contracts or transfer funds to an affiliate unless expressly authorized by the Board.</w:t>
      </w:r>
    </w:p>
    <w:p>
      <w:pPr>
        <w:pStyle w:val="Heading2"/>
        <w:keepNext/>
      </w:pPr>
      <w:r>
        <w:t>ARTICLE VII — FINANCE, PUBLIC SUPPORT AND GRANTS</w:t>
      </w:r>
    </w:p>
    <w:p>
      <w:pPr>
        <w:pStyle w:val="Heading3"/>
        <w:keepNext/>
      </w:pPr>
      <w:r>
        <w:t>Section 1. Fiscal year.</w:t>
      </w:r>
    </w:p>
    <w:p>
      <w:r>
        <w:t>Fiscal year is January 1 through December 31 unless changed by Board resolution.</w:t>
      </w:r>
    </w:p>
    <w:p>
      <w:pPr>
        <w:pStyle w:val="Heading3"/>
        <w:keepNext/>
      </w:pPr>
      <w:r>
        <w:t>Section 2. Public charity intent.</w:t>
      </w:r>
    </w:p>
    <w:p>
      <w:r>
        <w:t>The Foundation intends to qualify as a public charity and shall monitor its sources of public support. The precise public-support classification shall be selected with tax counsel/accounting review based on expected revenue.</w:t>
      </w:r>
    </w:p>
    <w:p>
      <w:pPr>
        <w:pStyle w:val="Heading3"/>
        <w:keepNext/>
      </w:pPr>
      <w:r>
        <w:t>Section 3. Budget and reports.</w:t>
      </w:r>
    </w:p>
    <w:p>
      <w:r>
        <w:t>The Board shall adopt an annual budget and receive financial reports at each regular meeting. Quarterly and annual public reports shall be posted with protected information redacted.</w:t>
      </w:r>
    </w:p>
    <w:p>
      <w:pPr>
        <w:pStyle w:val="Heading3"/>
        <w:keepNext/>
      </w:pPr>
      <w:r>
        <w:t>Section 4. Restricted funds.</w:t>
      </w:r>
    </w:p>
    <w:p>
      <w:r>
        <w:t>Grant and donor restrictions shall be recorded at acceptance and honored. Restricted funds may not be diverted to Action Fund lobbying, political activity or unrelated purposes.</w:t>
      </w:r>
    </w:p>
    <w:p>
      <w:pPr>
        <w:pStyle w:val="Heading3"/>
        <w:keepNext/>
      </w:pPr>
      <w:r>
        <w:t>Section 5. Grants and contracts.</w:t>
      </w:r>
    </w:p>
    <w:p>
      <w:r>
        <w:t>The Board shall review material grant obligations, cost-sharing, matching requirements, data/reporting commitments and any restrictions affecting affiliation with the Action Fund.</w:t>
      </w:r>
    </w:p>
    <w:p>
      <w:pPr>
        <w:pStyle w:val="Heading3"/>
        <w:keepNext/>
      </w:pPr>
      <w:r>
        <w:t>Section 6. Independent review.</w:t>
      </w:r>
    </w:p>
    <w:p>
      <w:r>
        <w:t>At least annually, persons who are not check signers shall review reconciliations, receipts, disbursements and restricted-fund reporting. External review/audit shall be obtained when required by law, funder or scale of operations.</w:t>
      </w:r>
    </w:p>
    <w:p>
      <w:pPr>
        <w:pStyle w:val="Heading2"/>
        <w:keepNext/>
      </w:pPr>
      <w:r>
        <w:t>ARTICLE VIII — GIFTS AND FUNDRAISING</w:t>
      </w:r>
    </w:p>
    <w:p>
      <w:pPr>
        <w:pStyle w:val="Heading3"/>
        <w:keepNext/>
      </w:pPr>
      <w:r>
        <w:t>Section 1.</w:t>
      </w:r>
    </w:p>
    <w:p>
      <w:r>
        <w:t>The Foundation may solicit and accept donations consistent with its charitable purposes. Donor acknowledgments shall identify the Foundation's legal name and EIN and shall not imply deductibility beyond what law permits.</w:t>
      </w:r>
    </w:p>
    <w:p>
      <w:pPr>
        <w:pStyle w:val="Heading3"/>
        <w:keepNext/>
      </w:pPr>
      <w:r>
        <w:t>Section 2.</w:t>
      </w:r>
    </w:p>
    <w:p>
      <w:r>
        <w:t>No donor may direct the Foundation to transfer a charitable contribution to the Action Fund or use it for candidate campaign activity.</w:t>
      </w:r>
    </w:p>
    <w:p>
      <w:pPr>
        <w:pStyle w:val="Heading3"/>
        <w:keepNext/>
      </w:pPr>
      <w:r>
        <w:t>Section 3.</w:t>
      </w:r>
    </w:p>
    <w:p>
      <w:r>
        <w:t>The Board may decline gifts that create excessive administrative burden, private benefit, reputational/legal risk, impermissible restrictions or conflict with charitable purposes.</w:t>
      </w:r>
    </w:p>
    <w:p>
      <w:pPr>
        <w:pStyle w:val="Heading2"/>
        <w:keepNext/>
      </w:pPr>
      <w:r>
        <w:t>ARTICLE IX — LOBBYING AND POLITICAL ACTIVITY</w:t>
      </w:r>
    </w:p>
    <w:p>
      <w:pPr>
        <w:pStyle w:val="Heading3"/>
        <w:keepNext/>
      </w:pPr>
      <w:r>
        <w:t>Section 1. Candidate campaigns.</w:t>
      </w:r>
    </w:p>
    <w:p>
      <w:r>
        <w:t>The Foundation shall not directly or indirectly participate or intervene in any political campaign for or against a candidate for elective public office.</w:t>
      </w:r>
    </w:p>
    <w:p>
      <w:pPr>
        <w:pStyle w:val="Heading3"/>
        <w:keepNext/>
      </w:pPr>
      <w:r>
        <w:t>Section 2. Lobbying.</w:t>
      </w:r>
    </w:p>
    <w:p>
      <w:r>
        <w:t>The Foundation may engage in limited lobbying consistent with Section 501(c)(3). The Board may authorize filing Form 5768 to elect the Section 501(h) expenditure test after legal review.</w:t>
      </w:r>
    </w:p>
    <w:p>
      <w:pPr>
        <w:pStyle w:val="Heading3"/>
        <w:keepNext/>
      </w:pPr>
      <w:r>
        <w:t>Section 3. Tracking.</w:t>
      </w:r>
    </w:p>
    <w:p>
      <w:r>
        <w:t>All direct and grassroots lobbying time and expenditures shall be tracked separately. No restricted grant may be used for lobbying unless the grant terms and law permit it.</w:t>
      </w:r>
    </w:p>
    <w:p>
      <w:pPr>
        <w:pStyle w:val="Heading3"/>
        <w:keepNext/>
      </w:pPr>
      <w:r>
        <w:t>Section 4. Action Fund referrals.</w:t>
      </w:r>
    </w:p>
    <w:p>
      <w:r>
        <w:t>When a communication moves from education into an Action Fund call-to-action or lobbying campaign, the responsible entity must be clearly identified and costs allocated accordingly.</w:t>
      </w:r>
    </w:p>
    <w:p>
      <w:pPr>
        <w:pStyle w:val="Heading2"/>
        <w:keepNext/>
      </w:pPr>
      <w:r>
        <w:t>ARTICLE X — AFFILIATION WITH WOODHAVEN UNITES ACTION FUND</w:t>
      </w:r>
    </w:p>
    <w:p>
      <w:pPr>
        <w:pStyle w:val="Heading3"/>
        <w:keepNext/>
      </w:pPr>
      <w:r>
        <w:t>Section 1. Separate entities.</w:t>
      </w:r>
    </w:p>
    <w:p>
      <w:r>
        <w:t>The Foundation and Action Fund are separate legal and tax entities. Neither is an agent of the other merely by affiliation.</w:t>
      </w:r>
    </w:p>
    <w:p>
      <w:pPr>
        <w:pStyle w:val="Heading3"/>
        <w:keepNext/>
      </w:pPr>
      <w:r>
        <w:t>Section 2. Separate finances.</w:t>
      </w:r>
    </w:p>
    <w:p>
      <w:r>
        <w:t>Each maintains its own EIN, bank accounts, books, contracts, board minutes and tax filings.</w:t>
      </w:r>
    </w:p>
    <w:p>
      <w:pPr>
        <w:pStyle w:val="Heading3"/>
        <w:keepNext/>
      </w:pPr>
      <w:r>
        <w:t>Section 3. Shared resources.</w:t>
      </w:r>
    </w:p>
    <w:p>
      <w:r>
        <w:t>Shared website, software, contractors, event space, data or other resources require written allocation under the Affiliation and Shared Services Agreement. Foundation resources may not subsidize Action Fund advocacy.</w:t>
      </w:r>
    </w:p>
    <w:p>
      <w:pPr>
        <w:pStyle w:val="Heading3"/>
        <w:keepNext/>
      </w:pPr>
      <w:r>
        <w:t>Section 4. Transactions.</w:t>
      </w:r>
    </w:p>
    <w:p>
      <w:r>
        <w:t>Payments, grants or reimbursements between the entities are related-party transactions requiring documented purpose, fair terms and disinterested approval.</w:t>
      </w:r>
    </w:p>
    <w:p>
      <w:pPr>
        <w:pStyle w:val="Heading2"/>
        <w:keepNext/>
      </w:pPr>
      <w:r>
        <w:t>ARTICLE XI — TRANSPARENCY GUARANTEE</w:t>
      </w:r>
    </w:p>
    <w:p>
      <w:pPr>
        <w:pStyle w:val="Heading3"/>
        <w:keepNext/>
      </w:pPr>
      <w:r>
        <w:t>Section 1.</w:t>
      </w:r>
    </w:p>
    <w:p>
      <w:r>
        <w:t>The Foundation operates under a presumption of openness and shall publish or reasonably provide its certificate, bylaws, policies, Board roster, meeting notices/agendas, approved minutes, budgets, annual/quarterly financial reports, required tax filings, relevant conflict disclosures, grant/program summaries and affiliation agreement, subject to privacy and legal restrictions.</w:t>
      </w:r>
    </w:p>
    <w:p>
      <w:pPr>
        <w:pStyle w:val="Heading2"/>
        <w:keepNext/>
      </w:pPr>
      <w:r>
        <w:t>ARTICLE XII — ETHICS AND CONFLICTS</w:t>
      </w:r>
    </w:p>
    <w:p>
      <w:pPr>
        <w:pStyle w:val="Heading3"/>
        <w:keepNext/>
      </w:pPr>
      <w:r>
        <w:t>Section 1.</w:t>
      </w:r>
    </w:p>
    <w:p>
      <w:r>
        <w:t>Directors, officers and committee leaders shall act in good faith, disclose actual/potential/apparent conflicts, avoid private use of confidential information, protect donor and participant privacy and recuse when impartial participation could reasonably be questioned.</w:t>
      </w:r>
    </w:p>
    <w:p>
      <w:pPr>
        <w:pStyle w:val="Heading3"/>
        <w:keepNext/>
      </w:pPr>
      <w:r>
        <w:t>Section 2.</w:t>
      </w:r>
    </w:p>
    <w:p>
      <w:r>
        <w:t>Annual written disclosures and eligibility certifications are required.</w:t>
      </w:r>
    </w:p>
    <w:p>
      <w:pPr>
        <w:pStyle w:val="Heading2"/>
        <w:keepNext/>
      </w:pPr>
      <w:r>
        <w:t>ARTICLE XIII — RECORDS, PRIVACY AND DATA</w:t>
      </w:r>
    </w:p>
    <w:p>
      <w:pPr>
        <w:pStyle w:val="Heading3"/>
        <w:keepNext/>
      </w:pPr>
      <w:r>
        <w:t>Section 1.</w:t>
      </w:r>
    </w:p>
    <w:p>
      <w:r>
        <w:t>The Foundation shall maintain accurate corporate, financial, grant, program, donor, survey, research and meeting records.</w:t>
      </w:r>
    </w:p>
    <w:p>
      <w:pPr>
        <w:pStyle w:val="Heading3"/>
        <w:keepNext/>
      </w:pPr>
      <w:r>
        <w:t>Section 2.</w:t>
      </w:r>
    </w:p>
    <w:p>
      <w:r>
        <w:t>Participant identity, donor information where protected, home addresses, contact data and survey verification data shall be safeguarded and retained only as long as reasonably necessary.</w:t>
      </w:r>
    </w:p>
    <w:p>
      <w:pPr>
        <w:pStyle w:val="Heading3"/>
        <w:keepNext/>
      </w:pPr>
      <w:r>
        <w:t>Section 3.</w:t>
      </w:r>
    </w:p>
    <w:p>
      <w:r>
        <w:t>Research and survey publications shall describe methodology, limitations and the entity responsible for the work.</w:t>
      </w:r>
    </w:p>
    <w:p>
      <w:pPr>
        <w:pStyle w:val="Heading2"/>
        <w:keepNext/>
      </w:pPr>
      <w:r>
        <w:t>ARTICLE XIV — LIABILITY AND INDEMNIFICATION</w:t>
      </w:r>
    </w:p>
    <w:p>
      <w:pPr>
        <w:pStyle w:val="Heading3"/>
        <w:keepNext/>
      </w:pPr>
      <w:r>
        <w:t>Section 1.</w:t>
      </w:r>
    </w:p>
    <w:p>
      <w:r>
        <w:t>To the fullest extent permitted by Texas law, the Foundation may indemnify directors, officers, employees or volunteers who acted in good faith and reasonably believed conduct was in the Foundation's best interests. No indemnification for fraud, willful misconduct, knowing violation of law, improper personal benefit or acts outside authorized duties.</w:t>
      </w:r>
    </w:p>
    <w:p>
      <w:pPr>
        <w:pStyle w:val="Heading2"/>
        <w:keepNext/>
      </w:pPr>
      <w:r>
        <w:t>ARTICLE XV — AMENDMENTS AND DISSOLUTION</w:t>
      </w:r>
    </w:p>
    <w:p>
      <w:pPr>
        <w:pStyle w:val="Heading3"/>
        <w:keepNext/>
      </w:pPr>
      <w:r>
        <w:t>Section 1. Amendments.</w:t>
      </w:r>
    </w:p>
    <w:p>
      <w:r>
        <w:t>Bylaws may be amended by two-thirds of directors then in office after at least 14 days' notice of the proposed text. Amendments affecting charitable purposes, dissolution, private-inurement restrictions, campaign prohibition, affiliation or Board independence should receive legal review before adoption.</w:t>
      </w:r>
    </w:p>
    <w:p>
      <w:pPr>
        <w:pStyle w:val="Heading3"/>
        <w:keepNext/>
      </w:pPr>
      <w:r>
        <w:t>Section 2. Dissolution.</w:t>
      </w:r>
    </w:p>
    <w:p>
      <w:r>
        <w:t>Dissolution requires approval under Texas law and two-thirds of directors then in office. Assets shall be distributed only as stated in the Certificate of Formation to Section 501(c)(3) organizations or government for a public purpose.</w:t>
      </w:r>
    </w:p>
    <w:p>
      <w:pPr>
        <w:pStyle w:val="Heading3"/>
        <w:keepNext/>
      </w:pPr>
      <w:r>
        <w:t>Section 3. Parliamentary authority.</w:t>
      </w:r>
    </w:p>
    <w:p>
      <w:r>
        <w:t>The current edition of Robert's Rules of Order Newly Revised governs procedural questions not otherwise addressed, provided it is applied to facilitate rather than obstruct fair participation.</w:t>
      </w:r>
    </w:p>
    <w:p>
      <w:pPr>
        <w:pStyle w:val="Heading2"/>
        <w:keepNext/>
      </w:pPr>
      <w:r>
        <w:t>CERTIFICATION</w:t>
      </w:r>
    </w:p>
    <w:p>
      <w:r>
        <w:t>These bylaws were adopted by the Board of Directors of Woodhaven Unites Foundation, Inc. on [DATE OF ADOPTION].</w:t>
      </w:r>
    </w:p>
    <w:p>
      <w:pPr>
        <w:spacing w:after="0" w:before="0" w:line="168" w:lineRule="auto"/>
      </w:pPr>
    </w:p>
    <w:p>
      <w:pPr>
        <w:spacing w:after="0"/>
        <w:keepNext/>
      </w:pPr>
      <w:r>
        <w:t>____________________________________________</w:t>
      </w:r>
    </w:p>
    <w:p>
      <w:pPr>
        <w:pStyle w:val="SmallNote"/>
        <w:keepNext/>
      </w:pPr>
      <w:r>
        <w:t>Secretary, Woodhaven Unites Foundation, Inc.</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President, Woodhaven Unites Foundation, Inc.</w:t>
      </w:r>
    </w:p>
    <w:p>
      <w:pPr>
        <w:pStyle w:val="SmallNote"/>
        <w:keepNext/>
      </w:pPr>
      <w:r>
        <w:t>Date: ____________________</w:t>
      </w:r>
    </w:p>
    <w:p>
      <w:pPr>
        <w:pStyle w:val="Heading1"/>
        <w:keepNext/>
      </w:pPr>
      <w:r>
        <w:t>3. Community Participation and Information Rights</w:t>
      </w:r>
    </w:p>
    <w:p>
      <w:pPr>
        <w:pStyle w:val="Heading3"/>
        <w:keepNext/>
      </w:pPr>
      <w:r>
        <w:t>Right to Information</w:t>
      </w:r>
    </w:p>
    <w:p>
      <w:r>
        <w:t>Residents are entitled to timely, understandable and accurate information about Foundation programs and public matters the Foundation addresses.</w:t>
      </w:r>
    </w:p>
    <w:p>
      <w:pPr>
        <w:pStyle w:val="Heading3"/>
        <w:keepNext/>
      </w:pPr>
      <w:r>
        <w:t>Right to Participate</w:t>
      </w:r>
    </w:p>
    <w:p>
      <w:r>
        <w:t>Residents should have practical opportunities to attend programs, submit questions, participate in surveys/listening sessions, volunteer and propose charitable or educational projects.</w:t>
      </w:r>
    </w:p>
    <w:p>
      <w:pPr>
        <w:pStyle w:val="Heading3"/>
        <w:keepNext/>
      </w:pPr>
      <w:r>
        <w:t>Right to Equal Treatment</w:t>
      </w:r>
    </w:p>
    <w:p>
      <w:r>
        <w:t>Program and participation rules must be objective, published in advance and applied without favoritism based on viewpoint or relationships.</w:t>
      </w:r>
    </w:p>
    <w:p>
      <w:pPr>
        <w:pStyle w:val="Heading3"/>
        <w:keepNext/>
      </w:pPr>
      <w:r>
        <w:t>Right to Financial Transparency</w:t>
      </w:r>
    </w:p>
    <w:p>
      <w:r>
        <w:t>Budgets, reports, material expenditures, grants received and required filings should be reasonably available subject to privacy and grant restrictions.</w:t>
      </w:r>
    </w:p>
    <w:p>
      <w:pPr>
        <w:pStyle w:val="Heading3"/>
        <w:keepNext/>
      </w:pPr>
      <w:r>
        <w:t>Right to Open Governance</w:t>
      </w:r>
    </w:p>
    <w:p>
      <w:r>
        <w:t>Board business should be conducted openly except for narrow confidentiality needs.</w:t>
      </w:r>
    </w:p>
    <w:p>
      <w:pPr>
        <w:pStyle w:val="Heading3"/>
        <w:keepNext/>
      </w:pPr>
      <w:r>
        <w:t>Right to Privacy</w:t>
      </w:r>
    </w:p>
    <w:p>
      <w:r>
        <w:t>Personal contact information, survey verification data and sensitive program records must be protected.</w:t>
      </w:r>
    </w:p>
    <w:p>
      <w:pPr>
        <w:pStyle w:val="Heading3"/>
        <w:keepNext/>
      </w:pPr>
      <w:r>
        <w:t>Right to Respectful Disagreement</w:t>
      </w:r>
    </w:p>
    <w:p>
      <w:r>
        <w:t>Criticism, minority views and good-faith dissent are legitimate parts of civic education.</w:t>
      </w:r>
    </w:p>
    <w:p>
      <w:pPr>
        <w:pStyle w:val="Heading3"/>
        <w:keepNext/>
      </w:pPr>
      <w:r>
        <w:t>Right to Accountability</w:t>
      </w:r>
    </w:p>
    <w:p>
      <w:r>
        <w:t>Leaders must disclose conflicts, explain material decisions, correct errors and follow the governing documents.</w:t>
      </w:r>
    </w:p>
    <w:p>
      <w:pPr>
        <w:pStyle w:val="Heading1"/>
        <w:keepNext/>
      </w:pPr>
      <w:r>
        <w:t>4. Conflict of Interest and Code of Ethics</w:t>
      </w:r>
    </w:p>
    <w:p>
      <w:pPr>
        <w:pStyle w:val="ListBullet"/>
      </w:pPr>
      <w:r>
        <w:t>Annual disclosure of financial, professional, family, organizational, political and real-estate relationships reasonably related to Foundation matters.</w:t>
      </w:r>
    </w:p>
    <w:p>
      <w:pPr>
        <w:pStyle w:val="ListBullet"/>
      </w:pPr>
      <w:r>
        <w:t>Disclosure of affiliation with the Action Fund and any leadership role held in either entity.</w:t>
      </w:r>
    </w:p>
    <w:p>
      <w:pPr>
        <w:pStyle w:val="ListBullet"/>
      </w:pPr>
      <w:r>
        <w:t>No use of charitable resources, grant information, donor data, survey data or organizational opportunities for private benefit.</w:t>
      </w:r>
    </w:p>
    <w:p>
      <w:pPr>
        <w:pStyle w:val="ListBullet"/>
      </w:pPr>
      <w:r>
        <w:t>No retaliation against volunteers, whistleblowers, critics, grant-reporting participants or records requesters.</w:t>
      </w:r>
    </w:p>
    <w:p>
      <w:pPr>
        <w:pStyle w:val="ListBullet"/>
      </w:pPr>
      <w:r>
        <w:t>Recusal from discussion and vote when impartiality could reasonably be questioned; minutes record disclosure and absence.</w:t>
      </w:r>
    </w:p>
    <w:p>
      <w:pPr>
        <w:pStyle w:val="ListBullet"/>
      </w:pPr>
      <w:r>
        <w:t>Related-party transactions require advance disclosure, alternatives where practical, fair terms and disinterested approval.</w:t>
      </w:r>
    </w:p>
    <w:p>
      <w:pPr>
        <w:pStyle w:val="ListBullet"/>
      </w:pPr>
      <w:r>
        <w:t>Transfers, reimbursements or shared-cost allocations with the Action Fund are treated as related-party transactions.</w:t>
      </w:r>
    </w:p>
    <w:p>
      <w:pPr>
        <w:pStyle w:val="Heading1"/>
        <w:keepNext/>
      </w:pPr>
      <w:r>
        <w:t>5. Transparency and Records Policy</w:t>
      </w:r>
    </w:p>
    <w:p>
      <w:pPr>
        <w:pStyle w:val="Heading2"/>
        <w:keepNext/>
      </w:pPr>
      <w:r>
        <w:t>Records published routinely</w:t>
      </w:r>
    </w:p>
    <w:p>
      <w:pPr>
        <w:pStyle w:val="ListBullet"/>
      </w:pPr>
      <w:r>
        <w:t>Certificate of Formation, bylaws, policies and amendments.</w:t>
      </w:r>
    </w:p>
    <w:p>
      <w:pPr>
        <w:pStyle w:val="ListBullet"/>
      </w:pPr>
      <w:r>
        <w:t>Board roster and terms; meeting calendar, notices, agendas and approved minutes.</w:t>
      </w:r>
    </w:p>
    <w:p>
      <w:pPr>
        <w:pStyle w:val="ListBullet"/>
      </w:pPr>
      <w:r>
        <w:t>Annual budget, quarterly financial reports, annual financial statements and required IRS filings.</w:t>
      </w:r>
    </w:p>
    <w:p>
      <w:pPr>
        <w:pStyle w:val="ListBullet"/>
      </w:pPr>
      <w:r>
        <w:t>Annual conflict-of-interest compliance statement and disclosures relevant to official action, with protected information redacted.</w:t>
      </w:r>
    </w:p>
    <w:p>
      <w:pPr>
        <w:pStyle w:val="ListBullet"/>
      </w:pPr>
      <w:r>
        <w:t>Program descriptions, grant summaries where disclosure is permitted, survey/research methodology and final public reports.</w:t>
      </w:r>
    </w:p>
    <w:p>
      <w:pPr>
        <w:pStyle w:val="ListBullet"/>
      </w:pPr>
      <w:r>
        <w:t>Affiliation and Shared Services Agreement and current allocation policy.</w:t>
      </w:r>
    </w:p>
    <w:p>
      <w:pPr>
        <w:pStyle w:val="Heading2"/>
        <w:keepNext/>
      </w:pPr>
      <w:r>
        <w:t>Protected records</w:t>
      </w:r>
    </w:p>
    <w:p>
      <w:pPr>
        <w:pStyle w:val="ListBullet"/>
      </w:pPr>
      <w:r>
        <w:t>Home addresses, private contact information and participant verification data.</w:t>
      </w:r>
    </w:p>
    <w:p>
      <w:pPr>
        <w:pStyle w:val="ListBullet"/>
      </w:pPr>
      <w:r>
        <w:t>Donor information protected by law, pledge or legitimate confidentiality commitments.</w:t>
      </w:r>
    </w:p>
    <w:p>
      <w:pPr>
        <w:pStyle w:val="ListBullet"/>
      </w:pPr>
      <w:r>
        <w:t>Bank/payment credentials.</w:t>
      </w:r>
    </w:p>
    <w:p>
      <w:pPr>
        <w:pStyle w:val="ListBullet"/>
      </w:pPr>
      <w:r>
        <w:t>Attorney-client privileged material and work product.</w:t>
      </w:r>
    </w:p>
    <w:p>
      <w:pPr>
        <w:pStyle w:val="ListBullet"/>
      </w:pPr>
      <w:r>
        <w:t>Sensitive personnel, whistleblower, security and litigation information.</w:t>
      </w:r>
    </w:p>
    <w:p>
      <w:pPr>
        <w:pStyle w:val="ListBullet"/>
      </w:pPr>
      <w:r>
        <w:t>Grant information contractually restricted from public release.</w:t>
      </w:r>
    </w:p>
    <w:p>
      <w:pPr>
        <w:pStyle w:val="Heading2"/>
        <w:keepNext/>
      </w:pPr>
      <w:r>
        <w:t>Document integrity</w:t>
      </w:r>
    </w:p>
    <w:p>
      <w:r>
        <w:t>Published records shall identify draft/final status, approval date, corrections, redactions, source and responsible entity. Research and survey materials shall not be selectively edited to materially change meaning.</w:t>
      </w:r>
    </w:p>
    <w:p>
      <w:pPr>
        <w:pStyle w:val="Heading2"/>
        <w:keepNext/>
      </w:pPr>
      <w:r>
        <w:t>Retention</w:t>
      </w:r>
    </w:p>
    <w:p>
      <w:pPr>
        <w:pStyle w:val="ListBullet"/>
      </w:pPr>
      <w:r>
        <w:t>Permanent: corporate charter/bylaws/amendments, Board minutes/resolutions, IRS application/determination, major contracts, final grant reports and required tax filings.</w:t>
      </w:r>
    </w:p>
    <w:p>
      <w:pPr>
        <w:pStyle w:val="ListBullet"/>
      </w:pPr>
      <w:r>
        <w:t>At least seven years: routine financial records, receipts, bank statements, invoices, grant support and reimbursement documentation.</w:t>
      </w:r>
    </w:p>
    <w:p>
      <w:pPr>
        <w:pStyle w:val="ListBullet"/>
      </w:pPr>
      <w:r>
        <w:t>Participant verification data: only as long as reasonably necessary for the stated program purpose.</w:t>
      </w:r>
    </w:p>
    <w:p>
      <w:pPr>
        <w:pStyle w:val="Heading1"/>
        <w:keepNext/>
      </w:pPr>
      <w:r>
        <w:t>6. Financial Controls and Restricted-Funds Policy</w:t>
      </w:r>
    </w:p>
    <w:p>
      <w:pPr>
        <w:pStyle w:val="ListBullet"/>
      </w:pPr>
      <w:r>
        <w:t>All accounts use the Foundation's legal name and EIN; at least two unrelated officers have view access.</w:t>
      </w:r>
    </w:p>
    <w:p>
      <w:pPr>
        <w:pStyle w:val="ListBullet"/>
      </w:pPr>
      <w:r>
        <w:t>No person approves a payment to themselves; two approvals are required above $500 or another Board-adopted threshold.</w:t>
      </w:r>
    </w:p>
    <w:p>
      <w:pPr>
        <w:pStyle w:val="ListBullet"/>
      </w:pPr>
      <w:r>
        <w:t>Every payment requires an invoice, receipt, contract, grant allocation or written explanation.</w:t>
      </w:r>
    </w:p>
    <w:p>
      <w:pPr>
        <w:pStyle w:val="ListBullet"/>
      </w:pPr>
      <w:r>
        <w:t>Contracts above $2,500 should receive at least two quotations when practical and require Board approval.</w:t>
      </w:r>
    </w:p>
    <w:p>
      <w:pPr>
        <w:pStyle w:val="ListBullet"/>
      </w:pPr>
      <w:r>
        <w:t>Restricted gifts/grants are coded separately and tracked by restriction.</w:t>
      </w:r>
    </w:p>
    <w:p>
      <w:pPr>
        <w:pStyle w:val="ListBullet"/>
      </w:pPr>
      <w:r>
        <w:t>No restricted charitable funds may be transferred to the Action Fund unless a lawful written grant agreement expressly permits the transfer for a Section 501(c)(3)-consistent purpose and counsel confirms it.</w:t>
      </w:r>
    </w:p>
    <w:p>
      <w:pPr>
        <w:pStyle w:val="ListBullet"/>
      </w:pPr>
      <w:r>
        <w:t>Shared expenses with the Action Fund are directly charged when possible; otherwise allocated under a reasonable documented methodology.</w:t>
      </w:r>
    </w:p>
    <w:p>
      <w:pPr>
        <w:pStyle w:val="ListBullet"/>
      </w:pPr>
      <w:r>
        <w:t>Personnel/contractor time spent on Action Fund advocacy is not charged to Foundation grants or charitable funds.</w:t>
      </w:r>
    </w:p>
    <w:p>
      <w:pPr>
        <w:pStyle w:val="ListBullet"/>
      </w:pPr>
      <w:r>
        <w:t>Monthly reconciliation; regular transaction-level reporting to the Board; prompt grant reporting; whistleblower protection.</w:t>
      </w:r>
    </w:p>
    <w:p>
      <w:pPr>
        <w:pStyle w:val="Heading1"/>
        <w:keepNext/>
      </w:pPr>
      <w:r>
        <w:t>7. Lobbying and Political Activity Policy</w:t>
      </w:r>
    </w:p>
    <w:tbl>
      <w:tblPr>
        <w:tblW w:type="auto" w:w="0"/>
        <w:jc w:val="center"/>
        <w:tblLook w:firstColumn="1" w:firstRow="1" w:lastColumn="0" w:lastRow="0" w:noHBand="0" w:noVBand="1" w:val="04A0"/>
      </w:tblPr>
      <w:tblGrid>
        <w:gridCol w:w="9878"/>
      </w:tblGrid>
      <w:tr>
        <w:tc>
          <w:tcPr>
            <w:tcW w:type="dxa" w:w="9878"/>
            <w:shd w:fill="F5F1E9"/>
            <w:tcMar>
              <w:top w:w="150" w:type="dxa"/>
              <w:start w:w="170" w:type="dxa"/>
              <w:bottom w:w="150" w:type="dxa"/>
              <w:end w:w="170" w:type="dxa"/>
            </w:tcMar>
          </w:tcPr>
          <w:p>
            <w:r>
              <w:rPr>
                <w:b/>
              </w:rPr>
              <w:t xml:space="preserve">Absolute rule: </w:t>
            </w:r>
            <w:r>
              <w:t>The Foundation does not support, oppose, coordinate with or intervene in candidate campaigns.</w:t>
            </w:r>
          </w:p>
        </w:tc>
      </w:tr>
    </w:tbl>
    <w:p>
      <w:pPr>
        <w:pStyle w:val="Heading2"/>
        <w:keepNext/>
      </w:pPr>
      <w:r>
        <w:t>Permissible nonpartisan activity</w:t>
      </w:r>
    </w:p>
    <w:p>
      <w:pPr>
        <w:pStyle w:val="ListBullet"/>
      </w:pPr>
      <w:r>
        <w:t>Public education about government processes, zoning, TIF, public records, elections and civic participation.</w:t>
      </w:r>
    </w:p>
    <w:p>
      <w:pPr>
        <w:pStyle w:val="ListBullet"/>
      </w:pPr>
      <w:r>
        <w:t>Neutral candidate forums or voter education designed and conducted without favoring candidates.</w:t>
      </w:r>
    </w:p>
    <w:p>
      <w:pPr>
        <w:pStyle w:val="ListBullet"/>
      </w:pPr>
      <w:r>
        <w:t>Research and publication of objective, methodologically supported information.</w:t>
      </w:r>
    </w:p>
    <w:p>
      <w:pPr>
        <w:pStyle w:val="ListBullet"/>
      </w:pPr>
      <w:r>
        <w:t>Limited lobbying consistent with Section 501(c)(3), with separate time and expenditure tracking.</w:t>
      </w:r>
    </w:p>
    <w:p>
      <w:pPr>
        <w:pStyle w:val="Heading2"/>
        <w:keepNext/>
      </w:pPr>
      <w:r>
        <w:t>501(h) election</w:t>
      </w:r>
    </w:p>
    <w:p>
      <w:r>
        <w:t>The Board may authorize filing IRS Form 5768 after counsel review. If elected, the Foundation shall track direct and grassroots lobbying expenditures under the applicable expenditure limits.</w:t>
      </w:r>
    </w:p>
    <w:p>
      <w:pPr>
        <w:pStyle w:val="Heading2"/>
        <w:keepNext/>
      </w:pPr>
      <w:r>
        <w:t>Entity handoff</w:t>
      </w:r>
    </w:p>
    <w:p>
      <w:r>
        <w:t>When Woodhaven Unites wants to urge residents to contact officials, sign an advocacy petition, support/oppose legislation or take other lobbying action beyond the Foundation's approved limits, the communication should originate from and be paid by the Action Fund.</w:t>
      </w:r>
    </w:p>
    <w:p>
      <w:pPr>
        <w:pStyle w:val="Heading1"/>
        <w:keepNext/>
      </w:pPr>
      <w:r>
        <w:t>8. Gift Acceptance and Donor Communications Policy</w:t>
      </w:r>
    </w:p>
    <w:p>
      <w:pPr>
        <w:pStyle w:val="ListBullet"/>
      </w:pPr>
      <w:r>
        <w:t>Donation pages and acknowledgments must identify Woodhaven Unites Foundation, Inc. as the recipient.</w:t>
      </w:r>
    </w:p>
    <w:p>
      <w:pPr>
        <w:pStyle w:val="ListBullet"/>
      </w:pPr>
      <w:r>
        <w:t>Receipts may state that contributions are intended to be deductible to the extent permitted by law only after/consistent with federal recognition and applicable law.</w:t>
      </w:r>
    </w:p>
    <w:p>
      <w:pPr>
        <w:pStyle w:val="ListBullet"/>
      </w:pPr>
      <w:r>
        <w:t>Restricted gifts are accepted only when consistent with charitable purposes and administratively feasible.</w:t>
      </w:r>
    </w:p>
    <w:p>
      <w:pPr>
        <w:pStyle w:val="ListBullet"/>
      </w:pPr>
      <w:r>
        <w:t>No donor may direct a charitable gift to candidate campaign activity or unrestricted Action Fund advocacy.</w:t>
      </w:r>
    </w:p>
    <w:p>
      <w:pPr>
        <w:pStyle w:val="ListBullet"/>
      </w:pPr>
      <w:r>
        <w:t>Noncash gifts, real estate, cryptocurrency, closely held interests, naming rights or gifts creating material obligations require Board/counsel review.</w:t>
      </w:r>
    </w:p>
    <w:p>
      <w:pPr>
        <w:pStyle w:val="ListBullet"/>
      </w:pPr>
      <w:r>
        <w:t>Anonymous/publicly undisclosed gifts may be accepted where lawful, but internal records must identify the source as required for compliance.</w:t>
      </w:r>
    </w:p>
    <w:p>
      <w:pPr>
        <w:pStyle w:val="Heading1"/>
        <w:keepNext/>
      </w:pPr>
      <w:r>
        <w:t>9. Action of Organizer</w:t>
      </w:r>
    </w:p>
    <w:p>
      <w:r>
        <w:t>ACTION OF ORGANIZER OF WOODHAVEN UNITES FOUNDATION, INC.</w:t>
      </w:r>
    </w:p>
    <w:p>
      <w:pPr>
        <w:pStyle w:val="ListNumber"/>
      </w:pPr>
      <w:r>
        <w:t>Appoint the initial directors listed below.</w:t>
      </w:r>
    </w:p>
    <w:p>
      <w:pPr>
        <w:pStyle w:val="ListNumber"/>
      </w:pPr>
      <w:r>
        <w:t>Deliver the filed Certificate, organizer action and organizational records to the initial Board.</w:t>
      </w:r>
    </w:p>
    <w:p>
      <w:pPr>
        <w:pStyle w:val="ListNumber"/>
      </w:pPr>
      <w:r>
        <w:t>Authorize reasonable actions necessary to complete filing and organization.</w:t>
      </w:r>
    </w:p>
    <w:p>
      <w:pPr>
        <w:pStyle w:val="ListNumber"/>
      </w:pPr>
      <w:r>
        <w:t>End organizer authority when the initial Board accepts records, except for ministerial filing corrections.</w:t>
      </w:r>
    </w:p>
    <w:p>
      <w:r>
        <w:t>[DIRECTOR 1 NAME AND ADDRESS]</w:t>
      </w:r>
    </w:p>
    <w:p>
      <w:r>
        <w:t>[DIRECTOR 2 NAME AND ADDRESS]</w:t>
      </w:r>
    </w:p>
    <w:p>
      <w:r>
        <w:t>[DIRECTOR 3 NAME AND ADDRESS]</w:t>
      </w:r>
    </w:p>
    <w:p>
      <w:r>
        <w:t>[DIRECTOR 4 NAME AND ADDRESS]</w:t>
      </w:r>
    </w:p>
    <w:p>
      <w:r>
        <w:t>[DIRECTOR 5 NAME AND ADDRESS]</w:t>
      </w:r>
    </w:p>
    <w:p>
      <w:pPr>
        <w:spacing w:after="0" w:before="0" w:line="168" w:lineRule="auto"/>
      </w:pPr>
    </w:p>
    <w:p>
      <w:pPr>
        <w:spacing w:after="0"/>
        <w:keepNext/>
      </w:pPr>
      <w:r>
        <w:t>____________________________________________</w:t>
      </w:r>
    </w:p>
    <w:p>
      <w:pPr>
        <w:pStyle w:val="SmallNote"/>
        <w:keepNext/>
      </w:pPr>
      <w:r>
        <w:t>Erika Graham, Organizer</w:t>
      </w:r>
    </w:p>
    <w:p>
      <w:pPr>
        <w:pStyle w:val="SmallNote"/>
        <w:keepNext/>
      </w:pPr>
      <w:r>
        <w:t>Date: ____________________</w:t>
      </w:r>
    </w:p>
    <w:p>
      <w:pPr>
        <w:pStyle w:val="Heading1"/>
        <w:keepNext/>
      </w:pPr>
      <w:r>
        <w:t>10. Initial Board Action by Unanimous Written Consent</w:t>
      </w:r>
    </w:p>
    <w:p>
      <w:pPr>
        <w:pStyle w:val="ListBullet"/>
      </w:pPr>
      <w:r>
        <w:t>Accept the filed Certificate and organizer action.</w:t>
      </w:r>
    </w:p>
    <w:p>
      <w:pPr>
        <w:pStyle w:val="ListBullet"/>
      </w:pPr>
      <w:r>
        <w:t>Adopt the Founding Charter and Bylaws, Community Participation and Information Rights, Conflict of Interest and Code of Ethics, Transparency and Records Policy, Financial Controls and Restricted-Funds Policy, Lobbying and Political Activity Policy, and Gift Acceptance Policy.</w:t>
      </w:r>
    </w:p>
    <w:p>
      <w:pPr>
        <w:pStyle w:val="ListBullet"/>
      </w:pPr>
      <w:r>
        <w:t>Elect President [NAME], Vice President [NAME], Secretary [NAME] and Treasurer [NAME].</w:t>
      </w:r>
    </w:p>
    <w:p>
      <w:pPr>
        <w:pStyle w:val="ListBullet"/>
      </w:pPr>
      <w:r>
        <w:t>Authorize an officer to obtain an EIN.</w:t>
      </w:r>
    </w:p>
    <w:p>
      <w:pPr>
        <w:pStyle w:val="ListBullet"/>
      </w:pPr>
      <w:r>
        <w:t>Authorize preparation and electronic filing of Form 1023 or Form 1023-EZ after completion of the IRS eligibility worksheet and professional review.</w:t>
      </w:r>
    </w:p>
    <w:p>
      <w:pPr>
        <w:pStyle w:val="ListBullet"/>
      </w:pPr>
      <w:r>
        <w:t>State intent to seek public-charity status rather than private-foundation classification.</w:t>
      </w:r>
    </w:p>
    <w:p>
      <w:pPr>
        <w:pStyle w:val="ListBullet"/>
      </w:pPr>
      <w:r>
        <w:t>Authorize filing Form 5768 after counsel review if the Board determines the Section 501(h) expenditure test is appropriate.</w:t>
      </w:r>
    </w:p>
    <w:p>
      <w:pPr>
        <w:pStyle w:val="ListBullet"/>
      </w:pPr>
      <w:r>
        <w:t>Authorize separate Foundation bank/bookkeeping and restricted-fund accounting.</w:t>
      </w:r>
    </w:p>
    <w:p>
      <w:pPr>
        <w:pStyle w:val="ListBullet"/>
      </w:pPr>
      <w:r>
        <w:t>Authorize execution of the Affiliation and Shared Services Agreement with the Action Fund after disinterested review.</w:t>
      </w:r>
    </w:p>
    <w:p>
      <w:pPr>
        <w:pStyle w:val="ListBullet"/>
      </w:pPr>
      <w:r>
        <w:t>Adopt January 1 through December 31 as fiscal year.</w:t>
      </w:r>
    </w:p>
    <w:p>
      <w:pPr>
        <w:pStyle w:val="ListBullet"/>
      </w:pPr>
      <w:r>
        <w:t>Authorize reasonable documented formation expenses up to [AMOUNT].</w:t>
      </w:r>
    </w:p>
    <w:p>
      <w:pPr>
        <w:pStyle w:val="ListBullet"/>
      </w:pPr>
      <w:r>
        <w:t>Authorize grant research and applications that accurately disclose the Foundation's formation/IRS status.</w:t>
      </w:r>
    </w:p>
    <w:p>
      <w:pPr>
        <w:pStyle w:val="ListBullet"/>
      </w:pPr>
      <w:r>
        <w:t>Obtain quotations for appropriate insurance.</w:t>
      </w:r>
    </w:p>
    <w:p>
      <w:pPr>
        <w:spacing w:after="0" w:before="0" w:line="168" w:lineRule="auto"/>
      </w:pPr>
    </w:p>
    <w:p>
      <w:pPr>
        <w:spacing w:after="0"/>
        <w:keepNext/>
      </w:pPr>
      <w:r>
        <w:t>____________________________________________</w:t>
      </w:r>
    </w:p>
    <w:p>
      <w:pPr>
        <w:pStyle w:val="SmallNote"/>
        <w:keepNext/>
      </w:pPr>
      <w:r>
        <w:t>Director 1</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2</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3</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4</w:t>
      </w:r>
    </w:p>
    <w:p>
      <w:pPr>
        <w:pStyle w:val="SmallNote"/>
        <w:keepNext/>
      </w:pPr>
      <w:r>
        <w:t>Date: ____________________</w:t>
      </w:r>
    </w:p>
    <w:p>
      <w:pPr>
        <w:spacing w:after="0" w:before="0" w:line="168" w:lineRule="auto"/>
      </w:pPr>
    </w:p>
    <w:p>
      <w:pPr>
        <w:spacing w:after="0"/>
        <w:keepNext/>
      </w:pPr>
      <w:r>
        <w:t>____________________________________________</w:t>
      </w:r>
    </w:p>
    <w:p>
      <w:pPr>
        <w:pStyle w:val="SmallNote"/>
        <w:keepNext/>
      </w:pPr>
      <w:r>
        <w:t>Director 5</w:t>
      </w:r>
    </w:p>
    <w:p>
      <w:pPr>
        <w:pStyle w:val="SmallNote"/>
        <w:keepNext/>
      </w:pPr>
      <w:r>
        <w:t>Date: ____________________</w:t>
      </w:r>
    </w:p>
    <w:p>
      <w:pPr>
        <w:pStyle w:val="Heading1"/>
        <w:keepNext/>
      </w:pPr>
      <w:r>
        <w:t>11. Formation and 501(c)(3) Filing Checklist</w:t>
      </w:r>
    </w:p>
    <w:p>
      <w:pPr>
        <w:pStyle w:val="ListBullet"/>
      </w:pPr>
      <w:r>
        <w:t>Confirm legal-name availability with Texas Secretary of State.</w:t>
      </w:r>
    </w:p>
    <w:p>
      <w:pPr>
        <w:pStyle w:val="ListBullet"/>
      </w:pPr>
      <w:r>
        <w:t>Confirm at least three initial directors and addresses; verify that the resident-majority and independence rules can be satisfied.</w:t>
      </w:r>
    </w:p>
    <w:p>
      <w:pPr>
        <w:pStyle w:val="ListBullet"/>
      </w:pPr>
      <w:r>
        <w:t>Retain registered-agent written consent.</w:t>
      </w:r>
    </w:p>
    <w:p>
      <w:pPr>
        <w:pStyle w:val="ListBullet"/>
      </w:pPr>
      <w:r>
        <w:t>File Texas Form 202; current filing fee is $25.</w:t>
      </w:r>
    </w:p>
    <w:p>
      <w:pPr>
        <w:pStyle w:val="ListBullet"/>
      </w:pPr>
      <w:r>
        <w:t>Obtain EIN.</w:t>
      </w:r>
    </w:p>
    <w:p>
      <w:pPr>
        <w:pStyle w:val="ListBullet"/>
      </w:pPr>
      <w:r>
        <w:t>Complete the current Form 1023-EZ eligibility worksheet; use full Form 1023 if any disqualifying answer applies or if full narrative review is strategically preferable.</w:t>
      </w:r>
    </w:p>
    <w:p>
      <w:pPr>
        <w:pStyle w:val="ListBullet"/>
      </w:pPr>
      <w:r>
        <w:t>Prepare activity narrative, budgets and compensation/conflict information required for the selected IRS application.</w:t>
      </w:r>
    </w:p>
    <w:p>
      <w:pPr>
        <w:pStyle w:val="ListBullet"/>
      </w:pPr>
      <w:r>
        <w:t>Select intended public-charity support classification with tax professional based on projected grants/donations/program revenue.</w:t>
      </w:r>
    </w:p>
    <w:p>
      <w:pPr>
        <w:pStyle w:val="ListBullet"/>
      </w:pPr>
      <w:r>
        <w:t>Consider Form 5768 after counsel review.</w:t>
      </w:r>
    </w:p>
    <w:p>
      <w:pPr>
        <w:pStyle w:val="ListBullet"/>
      </w:pPr>
      <w:r>
        <w:t>Open separate bank account and bookkeeping; adopt restricted-fund coding.</w:t>
      </w:r>
    </w:p>
    <w:p>
      <w:pPr>
        <w:pStyle w:val="ListBullet"/>
      </w:pPr>
      <w:r>
        <w:t>After federal determination, apply for applicable Texas franchise/sales tax exemption using the correct Comptroller process.</w:t>
      </w:r>
    </w:p>
    <w:p>
      <w:pPr>
        <w:pStyle w:val="ListBullet"/>
      </w:pPr>
      <w:r>
        <w:t>Update website donation language so tax-deductible Foundation gifts and nondeductible Action Fund contributions are not confused.</w:t>
      </w:r>
    </w:p>
    <w:p>
      <w:pPr>
        <w:pStyle w:val="Heading1"/>
        <w:keepNext/>
      </w:pPr>
      <w:r>
        <w:t>Current Legal Reference Notes</w:t>
      </w:r>
    </w:p>
    <w:p>
      <w:r>
        <w:t>These drafting notes were checked against current official sources on August 12, 2026. They are included so counsel can quickly verify the assumptions used in this packet.</w:t>
      </w:r>
    </w:p>
    <w:p>
      <w:pPr>
        <w:pStyle w:val="Heading3"/>
        <w:keepNext/>
      </w:pPr>
      <w:r>
        <w:t>Texas nonprofit formation</w:t>
      </w:r>
    </w:p>
    <w:p>
      <w:r>
        <w:t>Texas Secretary of State Form 202 requires a nonprofit name, registered agent and registered office, management information, membership selection, purpose, initial mailing address, organizer and execution. A board-managed nonprofit requires at least three initial directors. Current filing fee: $25.</w:t>
      </w:r>
    </w:p>
    <w:p>
      <w:pPr>
        <w:pStyle w:val="Heading3"/>
        <w:keepNext/>
      </w:pPr>
      <w:r>
        <w:t>501(c)(3) organizing document</w:t>
      </w:r>
    </w:p>
    <w:p>
      <w:r>
        <w:t>IRS guidance requires the organizing document to limit purposes to Section 501(c)(3) exempt purposes and permanently dedicate assets to Section 501(c)(3) purposes or government upon dissolution.</w:t>
      </w:r>
    </w:p>
    <w:p>
      <w:pPr>
        <w:pStyle w:val="Heading3"/>
        <w:keepNext/>
      </w:pPr>
      <w:r>
        <w:t>501(c)(3) campaign activity</w:t>
      </w:r>
    </w:p>
    <w:p>
      <w:r>
        <w:t>Section 501(c)(3) organizations are prohibited from directly or indirectly participating or intervening in political campaigns for or against candidates for elective public office.</w:t>
      </w:r>
    </w:p>
    <w:p>
      <w:pPr>
        <w:pStyle w:val="Heading3"/>
        <w:keepNext/>
      </w:pPr>
      <w:r>
        <w:t>501(h) lobbying election</w:t>
      </w:r>
    </w:p>
    <w:p>
      <w:r>
        <w:t>Eligible public charities may elect the expenditure test by filing Form 5768. The election provides an expenditure-based method for measuring permissible lobbying.</w:t>
      </w:r>
    </w:p>
    <w:p>
      <w:pPr>
        <w:pStyle w:val="Heading3"/>
        <w:keepNext/>
      </w:pPr>
      <w:r>
        <w:t>501(c)(4) notice</w:t>
      </w:r>
    </w:p>
    <w:p>
      <w:r>
        <w:t>An organization intending to operate under Section 501(c)(4) generally must electronically submit Form 8976 within 60 days of formation. The IRS currently charges a $50 fee. Form 1024-A is optional for organizations seeking a formal recognition letter.</w:t>
      </w:r>
    </w:p>
    <w:p>
      <w:pPr>
        <w:pStyle w:val="Heading3"/>
        <w:keepNext/>
      </w:pPr>
      <w:r>
        <w:t>Texas state tax exemption</w:t>
      </w:r>
    </w:p>
    <w:p>
      <w:r>
        <w:t>Texas nonprofit incorporation does not itself create state tax exemption. After federal recognition, an organization seeking Texas sales/franchise tax exemption should use the applicable Comptroller exemption process and ensure the legal name matches the federal determination letter.</w:t>
      </w:r>
    </w:p>
    <w:p>
      <w:pPr>
        <w:pStyle w:val="SmallNote"/>
      </w:pPr>
      <w:r>
        <w:t>Primary official references: Texas Secretary of State, Form 202 and instructions; IRS guidance on required provisions for charitable organizing documents, Form 1023/1023-EZ, Form 5768, and Form 8976; Texas Comptroller exempt-organization guidance.</w:t>
      </w:r>
    </w:p>
    <w:sectPr w:rsidR="00FC693F" w:rsidRPr="0006063C" w:rsidSect="00034616">
      <w:headerReference w:type="default" r:id="rId9"/>
      <w:footerReference w:type="default" r:id="rId10"/>
      <w:pgSz w:w="12240" w:h="15840"/>
      <w:pgMar w:top="1037" w:right="1181"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 xml:space="preserve">DRAFT — ATTORNEY REVIEW — NOT READY TO FILE  |  August 12, 2026     </w:t>
    </w:r>
    <w: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jc w:val="right"/>
    </w:pPr>
    <w:r>
      <w:t>Woodhaven Unites Foundation — Draft Formation &amp; Governance Packet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47"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F3A32"/>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B5147"/>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3047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3A32"/>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5C6B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Aptos" w:hAnsi="Aptos"/>
      <w:color w:val="626262"/>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