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B5147"/>
          <w:sz w:val="28"/>
        </w:rPr>
        <w:t>WOODHAVEN UNITES</w:t>
      </w:r>
    </w:p>
    <w:p>
      <w:pPr>
        <w:jc w:val="center"/>
      </w:pPr>
      <w:r>
        <w:rPr>
          <w:b/>
          <w:color w:val="1F3A32"/>
          <w:sz w:val="52"/>
        </w:rPr>
        <w:t>TWO-ENTITY TRANSITION PLAN</w:t>
      </w:r>
    </w:p>
    <w:p>
      <w:pPr>
        <w:jc w:val="center"/>
      </w:pPr>
      <w:r>
        <w:rPr>
          <w:color w:val="52625D"/>
          <w:sz w:val="26"/>
        </w:rPr>
        <w:t>Woodhaven Unites Foundation (501(c)(3)) + Woodhaven Unites Action Fund (501(c)(4))</w:t>
      </w:r>
    </w:p>
    <w:p/>
    <w:tbl>
      <w:tblPr>
        <w:tblW w:type="auto" w:w="0"/>
        <w:jc w:val="center"/>
        <w:tblLook w:firstColumn="1" w:firstRow="1" w:lastColumn="0" w:lastRow="0" w:noHBand="0" w:noVBand="1" w:val="04A0"/>
      </w:tblPr>
      <w:tblGrid>
        <w:gridCol w:w="9878"/>
      </w:tblGrid>
      <w:tr>
        <w:tc>
          <w:tcPr>
            <w:tcW w:type="dxa" w:w="9878"/>
            <w:shd w:fill="EEF4F1"/>
            <w:tcMar>
              <w:top w:w="170" w:type="dxa"/>
              <w:start w:w="170" w:type="dxa"/>
              <w:bottom w:w="170" w:type="dxa"/>
              <w:end w:w="170" w:type="dxa"/>
            </w:tcMar>
          </w:tcPr>
          <w:p>
            <w:pPr>
              <w:jc w:val="center"/>
            </w:pPr>
            <w:r>
              <w:rPr>
                <w:b/>
                <w:sz w:val="21"/>
              </w:rPr>
              <w:t>DRAFT — ATTORNEY REVIEW — NOT READY TO FILE</w:t>
            </w:r>
          </w:p>
          <w:p>
            <w:pPr>
              <w:jc w:val="center"/>
            </w:pPr>
            <w:r>
              <w:t>Prepared for organizational planning and Texas nonprofit/tax counsel review before filing or adoption.</w:t>
            </w:r>
          </w:p>
          <w:p>
            <w:pPr>
              <w:jc w:val="center"/>
            </w:pPr>
            <w:r>
              <w:t>Working roadmap tying the updated formation, governance, finance, website and grant structure together.</w:t>
            </w:r>
          </w:p>
        </w:tc>
      </w:tr>
    </w:tbl>
    <w:p/>
    <w:p>
      <w:pPr>
        <w:jc w:val="center"/>
      </w:pPr>
      <w:r>
        <w:rPr>
          <w:i/>
          <w:sz w:val="22"/>
        </w:rPr>
        <w:t>Independent. Transparent. Resident-Led.</w:t>
      </w:r>
    </w:p>
    <w:p/>
    <w:p>
      <w:pPr>
        <w:pStyle w:val="SmallNote"/>
        <w:jc w:val="center"/>
      </w:pPr>
      <w:r>
        <w:t>August 12, 2026</w:t>
      </w:r>
    </w:p>
    <w:p>
      <w:r>
        <w:br w:type="page"/>
      </w:r>
    </w:p>
    <w:p>
      <w:pPr>
        <w:pStyle w:val="Heading1"/>
        <w:keepNext/>
      </w:pPr>
      <w:r>
        <w:t>Recommended Structure</w:t>
      </w:r>
    </w:p>
    <w:tbl>
      <w:tblPr>
        <w:tblStyle w:val="TableGrid"/>
        <w:tblW w:type="auto" w:w="0"/>
        <w:jc w:val="center"/>
        <w:tblLook w:firstColumn="1" w:firstRow="1" w:lastColumn="0" w:lastRow="0" w:noHBand="0" w:noVBand="1" w:val="04A0"/>
      </w:tblPr>
      <w:tblGrid>
        <w:gridCol w:w="3293"/>
        <w:gridCol w:w="3293"/>
        <w:gridCol w:w="3293"/>
      </w:tblGrid>
      <w:tr>
        <w:trPr>
          <w:tblHeader w:val="true"/>
        </w:trPr>
        <w:tc>
          <w:tcPr>
            <w:tcW w:type="dxa" w:w="3293"/>
            <w:shd w:fill="DDE9E4"/>
          </w:tcPr>
          <w:p>
            <w:r>
              <w:t>Feature</w:t>
            </w:r>
          </w:p>
        </w:tc>
        <w:tc>
          <w:tcPr>
            <w:tcW w:type="dxa" w:w="3293"/>
            <w:shd w:fill="DDE9E4"/>
          </w:tcPr>
          <w:p>
            <w:r>
              <w:t>Foundation</w:t>
            </w:r>
          </w:p>
        </w:tc>
        <w:tc>
          <w:tcPr>
            <w:tcW w:type="dxa" w:w="3293"/>
            <w:shd w:fill="DDE9E4"/>
          </w:tcPr>
          <w:p>
            <w:r>
              <w:t>Action Fund</w:t>
            </w:r>
          </w:p>
        </w:tc>
      </w:tr>
      <w:tr>
        <w:tc>
          <w:tcPr>
            <w:tcW w:type="dxa" w:w="3293"/>
          </w:tcPr>
          <w:p>
            <w:r>
              <w:t>Federal intent</w:t>
            </w:r>
          </w:p>
        </w:tc>
        <w:tc>
          <w:tcPr>
            <w:tcW w:type="dxa" w:w="3293"/>
          </w:tcPr>
          <w:p>
            <w:r>
              <w:t>501(c)(3) public charity</w:t>
            </w:r>
          </w:p>
        </w:tc>
        <w:tc>
          <w:tcPr>
            <w:tcW w:type="dxa" w:w="3293"/>
          </w:tcPr>
          <w:p>
            <w:r>
              <w:t>501(c)(4) social-welfare organization</w:t>
            </w:r>
          </w:p>
        </w:tc>
      </w:tr>
      <w:tr>
        <w:tc>
          <w:tcPr>
            <w:tcW w:type="dxa" w:w="3293"/>
          </w:tcPr>
          <w:p>
            <w:r>
              <w:t>Primary role</w:t>
            </w:r>
          </w:p>
        </w:tc>
        <w:tc>
          <w:tcPr>
            <w:tcW w:type="dxa" w:w="3293"/>
          </w:tcPr>
          <w:p>
            <w:r>
              <w:t>Education, research, charitable programs, grants</w:t>
            </w:r>
          </w:p>
        </w:tc>
        <w:tc>
          <w:tcPr>
            <w:tcW w:type="dxa" w:w="3293"/>
          </w:tcPr>
          <w:p>
            <w:r>
              <w:t>Advocacy, lobbying, organizing, petitions</w:t>
            </w:r>
          </w:p>
        </w:tc>
      </w:tr>
      <w:tr>
        <w:tc>
          <w:tcPr>
            <w:tcW w:type="dxa" w:w="3293"/>
          </w:tcPr>
          <w:p>
            <w:r>
              <w:t>Governance</w:t>
            </w:r>
          </w:p>
        </w:tc>
        <w:tc>
          <w:tcPr>
            <w:tcW w:type="dxa" w:w="3293"/>
          </w:tcPr>
          <w:p>
            <w:r>
              <w:t>Board-managed; no statutory members; resident-majority Board</w:t>
            </w:r>
          </w:p>
        </w:tc>
        <w:tc>
          <w:tcPr>
            <w:tcW w:type="dxa" w:w="3293"/>
          </w:tcPr>
          <w:p>
            <w:r>
              <w:t>Resident-voting membership; elected Board</w:t>
            </w:r>
          </w:p>
        </w:tc>
      </w:tr>
      <w:tr>
        <w:tc>
          <w:tcPr>
            <w:tcW w:type="dxa" w:w="3293"/>
          </w:tcPr>
          <w:p>
            <w:r>
              <w:t>Candidate campaigns</w:t>
            </w:r>
          </w:p>
        </w:tc>
        <w:tc>
          <w:tcPr>
            <w:tcW w:type="dxa" w:w="3293"/>
          </w:tcPr>
          <w:p>
            <w:r>
              <w:t>Absolutely prohibited</w:t>
            </w:r>
          </w:p>
        </w:tc>
        <w:tc>
          <w:tcPr>
            <w:tcW w:type="dxa" w:w="3293"/>
          </w:tcPr>
          <w:p>
            <w:r>
              <w:t>Prohibited by current internal bylaws unless later amended after legal/tax review</w:t>
            </w:r>
          </w:p>
        </w:tc>
      </w:tr>
      <w:tr>
        <w:tc>
          <w:tcPr>
            <w:tcW w:type="dxa" w:w="3293"/>
          </w:tcPr>
          <w:p>
            <w:r>
              <w:t>Donations</w:t>
            </w:r>
          </w:p>
        </w:tc>
        <w:tc>
          <w:tcPr>
            <w:tcW w:type="dxa" w:w="3293"/>
          </w:tcPr>
          <w:p>
            <w:r>
              <w:t>Intended charitable deduction, subject to recognition/law</w:t>
            </w:r>
          </w:p>
        </w:tc>
        <w:tc>
          <w:tcPr>
            <w:tcW w:type="dxa" w:w="3293"/>
          </w:tcPr>
          <w:p>
            <w:r>
              <w:t>Generally not charitable deductions</w:t>
            </w:r>
          </w:p>
        </w:tc>
      </w:tr>
      <w:tr>
        <w:tc>
          <w:tcPr>
            <w:tcW w:type="dxa" w:w="3293"/>
          </w:tcPr>
          <w:p>
            <w:r>
              <w:t>Books/bank/EIN</w:t>
            </w:r>
          </w:p>
        </w:tc>
        <w:tc>
          <w:tcPr>
            <w:tcW w:type="dxa" w:w="3293"/>
          </w:tcPr>
          <w:p>
            <w:r>
              <w:t>Separate</w:t>
            </w:r>
          </w:p>
        </w:tc>
        <w:tc>
          <w:tcPr>
            <w:tcW w:type="dxa" w:w="3293"/>
          </w:tcPr>
          <w:p>
            <w:r>
              <w:t>Separate</w:t>
            </w:r>
          </w:p>
        </w:tc>
      </w:tr>
      <w:tr>
        <w:tc>
          <w:tcPr>
            <w:tcW w:type="dxa" w:w="3293"/>
          </w:tcPr>
          <w:p>
            <w:r>
              <w:t>Shared brand</w:t>
            </w:r>
          </w:p>
        </w:tc>
        <w:tc>
          <w:tcPr>
            <w:tcW w:type="dxa" w:w="3293"/>
          </w:tcPr>
          <w:p>
            <w:r>
              <w:t>Woodhaven Unites</w:t>
            </w:r>
          </w:p>
        </w:tc>
        <w:tc>
          <w:tcPr>
            <w:tcW w:type="dxa" w:w="3293"/>
          </w:tcPr>
          <w:p>
            <w:r>
              <w:t>Woodhaven Unites</w:t>
            </w:r>
          </w:p>
        </w:tc>
      </w:tr>
      <w:tr>
        <w:tc>
          <w:tcPr>
            <w:tcW w:type="dxa" w:w="3293"/>
          </w:tcPr>
          <w:p>
            <w:r>
              <w:t>Shared resources</w:t>
            </w:r>
          </w:p>
        </w:tc>
        <w:tc>
          <w:tcPr>
            <w:tcW w:type="dxa" w:w="3293"/>
          </w:tcPr>
          <w:p>
            <w:r>
              <w:t>Only with written allocation</w:t>
            </w:r>
          </w:p>
        </w:tc>
        <w:tc>
          <w:tcPr>
            <w:tcW w:type="dxa" w:w="3293"/>
          </w:tcPr>
          <w:p>
            <w:r>
              <w:t>Only with written allocation</w:t>
            </w:r>
          </w:p>
        </w:tc>
      </w:tr>
    </w:tbl>
    <w:p>
      <w:pPr>
        <w:pStyle w:val="Heading1"/>
        <w:keepNext/>
      </w:pPr>
      <w:r>
        <w:t>What Changed from the July 2026 Drafts</w:t>
      </w:r>
    </w:p>
    <w:p>
      <w:pPr>
        <w:pStyle w:val="ListBullet"/>
      </w:pPr>
      <w:r>
        <w:t>The single proposed 501(c)(4) structure is split into two separate corporations.</w:t>
      </w:r>
    </w:p>
    <w:p>
      <w:pPr>
        <w:pStyle w:val="ListBullet"/>
      </w:pPr>
      <w:r>
        <w:t>The resident-voting membership/election model remains with the Action Fund.</w:t>
      </w:r>
    </w:p>
    <w:p>
      <w:pPr>
        <w:pStyle w:val="ListBullet"/>
      </w:pPr>
      <w:r>
        <w:t>The Foundation is created as a separate public charity with no statutory members but a resident-majority Board, open governance and a formal resident advisory process.</w:t>
      </w:r>
    </w:p>
    <w:p>
      <w:pPr>
        <w:pStyle w:val="ListBullet"/>
      </w:pPr>
      <w:r>
        <w:t>The 12-month WNA/WCD and elected-office/campaign independence rules apply to both Boards.</w:t>
      </w:r>
    </w:p>
    <w:p>
      <w:pPr>
        <w:pStyle w:val="ListBullet"/>
      </w:pPr>
      <w:r>
        <w:t>Charitable purpose, dissolution and absolute candidate-campaign restrictions are added to the Foundation certificate/bylaws.</w:t>
      </w:r>
    </w:p>
    <w:p>
      <w:pPr>
        <w:pStyle w:val="ListBullet"/>
      </w:pPr>
      <w:r>
        <w:t>Foundation lobbying is limited and separately tracked; the packet authorizes consideration of a Section 501(h) election.</w:t>
      </w:r>
    </w:p>
    <w:p>
      <w:pPr>
        <w:pStyle w:val="ListBullet"/>
      </w:pPr>
      <w:r>
        <w:t>Financial controls now prohibit commingling and require documented inter-entity cost allocation.</w:t>
      </w:r>
    </w:p>
    <w:p>
      <w:pPr>
        <w:pStyle w:val="ListBullet"/>
      </w:pPr>
      <w:r>
        <w:t>A formal Affiliation and Shared Services Agreement governs shared website, data, contractors, events, research and branding.</w:t>
      </w:r>
    </w:p>
    <w:p>
      <w:pPr>
        <w:pStyle w:val="ListBullet"/>
      </w:pPr>
      <w:r>
        <w:t>Donation language is split so residents know whether they are giving to the tax-deductible charitable side or the advocacy side.</w:t>
      </w:r>
    </w:p>
    <w:p>
      <w:pPr>
        <w:pStyle w:val="Heading1"/>
        <w:keepNext/>
      </w:pPr>
      <w:r>
        <w:t>Open Items Before Filing</w:t>
      </w:r>
    </w:p>
    <w:p>
      <w:pPr>
        <w:pStyle w:val="Heading3"/>
        <w:keepNext/>
      </w:pPr>
      <w:r>
        <w:t>Status of existing entity</w:t>
      </w:r>
    </w:p>
    <w:p>
      <w:r>
        <w:t>Confirm whether Woodhaven Unites, Inc. has actually been filed with Texas or remains in draft. This determines whether the Action Fund needs a new filing, amendment or assumed-name approach.</w:t>
      </w:r>
    </w:p>
    <w:p>
      <w:pPr>
        <w:pStyle w:val="Heading3"/>
        <w:keepNext/>
      </w:pPr>
      <w:r>
        <w:t>Name availability</w:t>
      </w:r>
    </w:p>
    <w:p>
      <w:r>
        <w:t>Confirm Woodhaven Unites Foundation, Inc. and Woodhaven Unites Action Fund, Inc. are available/distinguishable in Texas.</w:t>
      </w:r>
    </w:p>
    <w:p>
      <w:pPr>
        <w:pStyle w:val="Heading3"/>
        <w:keepNext/>
      </w:pPr>
      <w:r>
        <w:t>Initial directors</w:t>
      </w:r>
    </w:p>
    <w:p>
      <w:r>
        <w:t>Provide at least three legal names and mailing addresses for each entity. Five are recommended for launch.</w:t>
      </w:r>
    </w:p>
    <w:p>
      <w:pPr>
        <w:pStyle w:val="Heading3"/>
        <w:keepNext/>
      </w:pPr>
      <w:r>
        <w:t>Board overlap</w:t>
      </w:r>
    </w:p>
    <w:p>
      <w:r>
        <w:t>Decide how many initial directors will serve on both Boards. Overlap is permissible in concept, but each Board must separately exercise fiduciary judgment.</w:t>
      </w:r>
    </w:p>
    <w:p>
      <w:pPr>
        <w:pStyle w:val="Heading3"/>
        <w:keepNext/>
      </w:pPr>
      <w:r>
        <w:t>Officers</w:t>
      </w:r>
    </w:p>
    <w:p>
      <w:r>
        <w:t>Select President, Vice President, Secretary and Treasurer for each entity.</w:t>
      </w:r>
    </w:p>
    <w:p>
      <w:pPr>
        <w:pStyle w:val="Heading3"/>
        <w:keepNext/>
      </w:pPr>
      <w:r>
        <w:t>Foundation public-support model</w:t>
      </w:r>
    </w:p>
    <w:p>
      <w:r>
        <w:t>Use anticipated grants/donations/program revenue to select the appropriate public-charity classification on Form 1023.</w:t>
      </w:r>
    </w:p>
    <w:p>
      <w:pPr>
        <w:pStyle w:val="Heading3"/>
        <w:keepNext/>
      </w:pPr>
      <w:r>
        <w:t>Website ownership</w:t>
      </w:r>
    </w:p>
    <w:p>
      <w:r>
        <w:t>Identify which entity currently owns/pays for the domain, Netlify, email and related digital services so the initial allocation schedule can be completed.</w:t>
      </w:r>
    </w:p>
    <w:p>
      <w:pPr>
        <w:pStyle w:val="Heading3"/>
        <w:keepNext/>
      </w:pPr>
      <w:r>
        <w:t>Formation costs</w:t>
      </w:r>
    </w:p>
    <w:p>
      <w:r>
        <w:t>Set Board-approved reimbursement caps and identify which entity incurred each pre-formation expense.</w:t>
      </w:r>
    </w:p>
    <w:p>
      <w:pPr>
        <w:pStyle w:val="Heading1"/>
        <w:keepNext/>
      </w:pPr>
      <w:r>
        <w:t>Order of Operations</w:t>
      </w:r>
    </w:p>
    <w:p>
      <w:pPr>
        <w:pStyle w:val="ListNumber"/>
      </w:pPr>
      <w:r>
        <w:t>Have Texas nonprofit/tax counsel review the two Certificates, bylaws and Affiliation Agreement.</w:t>
      </w:r>
    </w:p>
    <w:p>
      <w:pPr>
        <w:pStyle w:val="ListNumber"/>
      </w:pPr>
      <w:r>
        <w:t>Confirm whether the existing Woodhaven Unites, Inc. filing exists and resolve the Action Fund legal-name path.</w:t>
      </w:r>
    </w:p>
    <w:p>
      <w:pPr>
        <w:pStyle w:val="ListNumber"/>
      </w:pPr>
      <w:r>
        <w:t>Confirm name availability for the Foundation and, if needed, Action Fund.</w:t>
      </w:r>
    </w:p>
    <w:p>
      <w:pPr>
        <w:pStyle w:val="ListNumber"/>
      </w:pPr>
      <w:r>
        <w:t>Finalize initial directors, officer slate, registered-agent consent and formation-expense allocations.</w:t>
      </w:r>
    </w:p>
    <w:p>
      <w:pPr>
        <w:pStyle w:val="ListNumber"/>
      </w:pPr>
      <w:r>
        <w:t>File the Foundation Certificate and any required Action Fund formation/amendment document.</w:t>
      </w:r>
    </w:p>
    <w:p>
      <w:pPr>
        <w:pStyle w:val="ListNumber"/>
      </w:pPr>
      <w:r>
        <w:t>Obtain/confirm separate EINs.</w:t>
      </w:r>
    </w:p>
    <w:p>
      <w:pPr>
        <w:pStyle w:val="ListNumber"/>
      </w:pPr>
      <w:r>
        <w:t>Action Fund: confirm Form 8976 status and submit timely if required; decide whether Form 1024-A is worthwhile.</w:t>
      </w:r>
    </w:p>
    <w:p>
      <w:pPr>
        <w:pStyle w:val="ListNumber"/>
      </w:pPr>
      <w:r>
        <w:t>Foundation: prepare Form 1023/1023-EZ; select intended public-charity support classification; consider Form 5768.</w:t>
      </w:r>
    </w:p>
    <w:p>
      <w:pPr>
        <w:pStyle w:val="ListNumber"/>
      </w:pPr>
      <w:r>
        <w:t>Open separate bank/bookkeeping systems and adopt the inter-entity allocation schedule.</w:t>
      </w:r>
    </w:p>
    <w:p>
      <w:pPr>
        <w:pStyle w:val="ListNumber"/>
      </w:pPr>
      <w:r>
        <w:t>Execute Board consents and the Affiliation Agreement.</w:t>
      </w:r>
    </w:p>
    <w:p>
      <w:pPr>
        <w:pStyle w:val="ListNumber"/>
      </w:pPr>
      <w:r>
        <w:t>Update the website governance page, donation pages, privacy notice, email footer and document library to explain the two entities.</w:t>
      </w:r>
    </w:p>
    <w:p>
      <w:pPr>
        <w:pStyle w:val="ListNumber"/>
      </w:pPr>
      <w:r>
        <w:t>Use the Foundation identity for grant workshop follow-up and grant prospecting only after accurately describing its formation/IRS status.</w:t>
      </w:r>
    </w:p>
    <w:p>
      <w:pPr>
        <w:pStyle w:val="Heading1"/>
        <w:keepNext/>
      </w:pPr>
      <w:r>
        <w:t>Website Language — Working Draft</w:t>
      </w:r>
    </w:p>
    <w:p>
      <w:r>
        <w:t>Woodhaven Unites is served by two affiliated nonprofit organizations with different roles. Woodhaven Unites Foundation, Inc. conducts charitable and educational work, including civic information, community research, resident engagement and neighborhood programs. Woodhaven Unites Action Fund, Inc. organizes and advocates on public issues affecting Woodhaven. The organizations share a commitment to independence, transparency and resident participation but maintain separate governance, finances and legal responsibilities.</w:t>
      </w:r>
    </w:p>
    <w:p>
      <w:pPr>
        <w:pStyle w:val="Heading2"/>
        <w:keepNext/>
      </w:pPr>
      <w:r>
        <w:t>Donation choice</w:t>
      </w:r>
    </w:p>
    <w:p>
      <w:r>
        <w:t>Support charitable education and community programs through the Foundation, or support advocacy and organizing through the Action Fund. Contributions to the Foundation are intended to be tax-deductible to the extent permitted by law once the Foundation's federal status applies. Contributions to the Action Fund are generally not deductible as charitable contributions.</w:t>
      </w:r>
    </w:p>
    <w:p>
      <w:pPr>
        <w:pStyle w:val="Heading1"/>
        <w:keepNext/>
      </w:pPr>
      <w:r>
        <w:t>Documents Produced with This Transition</w:t>
      </w:r>
    </w:p>
    <w:p>
      <w:pPr>
        <w:pStyle w:val="ListBullet"/>
      </w:pPr>
      <w:r>
        <w:t>Woodhaven Unites Action Fund, Inc. — Formation &amp; Governance Packet</w:t>
      </w:r>
    </w:p>
    <w:p>
      <w:pPr>
        <w:pStyle w:val="ListBullet"/>
      </w:pPr>
      <w:r>
        <w:t>Woodhaven Unites Foundation, Inc. — Formation &amp; Governance Packet</w:t>
      </w:r>
    </w:p>
    <w:p>
      <w:pPr>
        <w:pStyle w:val="ListBullet"/>
      </w:pPr>
      <w:r>
        <w:t>Affiliation &amp; Shared Services Agreement with activity matrix, allocation methods, donation disclosures and website labeling standards</w:t>
      </w:r>
    </w:p>
    <w:p>
      <w:pPr>
        <w:pStyle w:val="ListBullet"/>
      </w:pPr>
      <w:r>
        <w:t>This Two-Entity Transition Plan</w:t>
      </w:r>
    </w:p>
    <w:p>
      <w:pPr>
        <w:pStyle w:val="Heading1"/>
        <w:keepNext/>
      </w:pPr>
      <w:r>
        <w:t>Current Legal Reference Notes</w:t>
      </w:r>
    </w:p>
    <w:p>
      <w:r>
        <w:t>These drafting notes were checked against current official sources on August 12, 2026. They are included so counsel can quickly verify the assumptions used in this packet.</w:t>
      </w:r>
    </w:p>
    <w:p>
      <w:pPr>
        <w:pStyle w:val="Heading3"/>
        <w:keepNext/>
      </w:pPr>
      <w:r>
        <w:t>Texas nonprofit formation</w:t>
      </w:r>
    </w:p>
    <w:p>
      <w:r>
        <w:t>Texas Secretary of State Form 202 requires a nonprofit name, registered agent and registered office, management information, membership selection, purpose, initial mailing address, organizer and execution. A board-managed nonprofit requires at least three initial directors. Current filing fee: $25.</w:t>
      </w:r>
    </w:p>
    <w:p>
      <w:pPr>
        <w:pStyle w:val="Heading3"/>
        <w:keepNext/>
      </w:pPr>
      <w:r>
        <w:t>501(c)(3) organizing document</w:t>
      </w:r>
    </w:p>
    <w:p>
      <w:r>
        <w:t>IRS guidance requires the organizing document to limit purposes to Section 501(c)(3) exempt purposes and permanently dedicate assets to Section 501(c)(3) purposes or government upon dissolution.</w:t>
      </w:r>
    </w:p>
    <w:p>
      <w:pPr>
        <w:pStyle w:val="Heading3"/>
        <w:keepNext/>
      </w:pPr>
      <w:r>
        <w:t>501(c)(3) campaign activity</w:t>
      </w:r>
    </w:p>
    <w:p>
      <w:r>
        <w:t>Section 501(c)(3) organizations are prohibited from directly or indirectly participating or intervening in political campaigns for or against candidates for elective public office.</w:t>
      </w:r>
    </w:p>
    <w:p>
      <w:pPr>
        <w:pStyle w:val="Heading3"/>
        <w:keepNext/>
      </w:pPr>
      <w:r>
        <w:t>501(h) lobbying election</w:t>
      </w:r>
    </w:p>
    <w:p>
      <w:r>
        <w:t>Eligible public charities may elect the expenditure test by filing Form 5768. The election provides an expenditure-based method for measuring permissible lobbying.</w:t>
      </w:r>
    </w:p>
    <w:p>
      <w:pPr>
        <w:pStyle w:val="Heading3"/>
        <w:keepNext/>
      </w:pPr>
      <w:r>
        <w:t>501(c)(4) notice</w:t>
      </w:r>
    </w:p>
    <w:p>
      <w:r>
        <w:t>An organization intending to operate under Section 501(c)(4) generally must electronically submit Form 8976 within 60 days of formation. The IRS currently charges a $50 fee. Form 1024-A is optional for organizations seeking a formal recognition letter.</w:t>
      </w:r>
    </w:p>
    <w:p>
      <w:pPr>
        <w:pStyle w:val="Heading3"/>
        <w:keepNext/>
      </w:pPr>
      <w:r>
        <w:t>Texas state tax exemption</w:t>
      </w:r>
    </w:p>
    <w:p>
      <w:r>
        <w:t>Texas nonprofit incorporation does not itself create state tax exemption. After federal recognition, an organization seeking Texas sales/franchise tax exemption should use the applicable Comptroller exemption process and ensure the legal name matches the federal determination letter.</w:t>
      </w:r>
    </w:p>
    <w:sectPr w:rsidR="00FC693F" w:rsidRPr="0006063C" w:rsidSect="00034616">
      <w:headerReference w:type="default" r:id="rId9"/>
      <w:footerReference w:type="default" r:id="rId10"/>
      <w:pgSz w:w="12240" w:h="15840"/>
      <w:pgMar w:top="1037" w:right="1181" w:bottom="979"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Note"/>
      <w:jc w:val="right"/>
    </w:pPr>
    <w:r>
      <w:t xml:space="preserve">DRAFT — ATTORNEY REVIEW — NOT READY TO FILE  |  August 12, 2026     </w:t>
    </w:r>
    <w: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Note"/>
      <w:jc w:val="right"/>
    </w:pPr>
    <w:r>
      <w:t>Woodhaven Unites — Two-Entity Transition Plan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47"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1F3A32"/>
      <w:sz w:val="3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2B5147"/>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30473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3A32"/>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5C6B66"/>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pPr>
    <w:rPr>
      <w:rFonts w:ascii="Aptos" w:hAnsi="Aptos"/>
      <w:color w:val="626262"/>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